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D9745" w14:textId="7971137C" w:rsidR="00184FA4" w:rsidRPr="00184FA4" w:rsidRDefault="00184FA4" w:rsidP="00184FA4">
      <w:pPr>
        <w:jc w:val="center"/>
        <w:rPr>
          <w:rFonts w:ascii="Arial" w:hAnsi="Arial" w:cs="Arial"/>
        </w:rPr>
      </w:pPr>
      <w:r w:rsidRPr="00184FA4">
        <w:rPr>
          <w:rFonts w:ascii="Arial" w:hAnsi="Arial" w:cs="Arial"/>
          <w:noProof/>
          <w:lang w:eastAsia="en-GB"/>
        </w:rPr>
        <w:drawing>
          <wp:inline distT="0" distB="0" distL="0" distR="0" wp14:anchorId="3B140259" wp14:editId="09AAD319">
            <wp:extent cx="1562100" cy="1171575"/>
            <wp:effectExtent l="0" t="0" r="0" b="9525"/>
            <wp:docPr id="1" name="Picture 1" descr="slide_logo_yellow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_logo_yellow_on_whi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24" w:type="dxa"/>
        <w:tblInd w:w="-7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24"/>
      </w:tblGrid>
      <w:tr w:rsidR="00CF6F8D" w:rsidRPr="00184FA4" w14:paraId="247801E6" w14:textId="77777777" w:rsidTr="00184FA4">
        <w:trPr>
          <w:trHeight w:val="360"/>
        </w:trPr>
        <w:tc>
          <w:tcPr>
            <w:tcW w:w="10024" w:type="dxa"/>
          </w:tcPr>
          <w:p w14:paraId="770D6F73" w14:textId="77777777" w:rsidR="00CF6F8D" w:rsidRPr="00184FA4" w:rsidRDefault="00620907">
            <w:pPr>
              <w:pStyle w:val="Heading3"/>
              <w:spacing w:after="58"/>
              <w:jc w:val="center"/>
              <w:rPr>
                <w:rFonts w:ascii="Arial" w:hAnsi="Arial" w:cs="Arial"/>
                <w:caps/>
                <w:sz w:val="24"/>
              </w:rPr>
            </w:pPr>
            <w:r w:rsidRPr="00184FA4">
              <w:rPr>
                <w:rFonts w:ascii="Arial" w:hAnsi="Arial" w:cs="Arial"/>
                <w:caps/>
                <w:sz w:val="24"/>
              </w:rPr>
              <w:t>SECTION</w:t>
            </w:r>
            <w:r w:rsidR="00CF6F8D" w:rsidRPr="00184FA4">
              <w:rPr>
                <w:rFonts w:ascii="Arial" w:hAnsi="Arial" w:cs="Arial"/>
                <w:caps/>
                <w:sz w:val="24"/>
              </w:rPr>
              <w:t xml:space="preserve"> FIVE:  IMMIGRATION LAW</w:t>
            </w:r>
          </w:p>
          <w:p w14:paraId="5979835D" w14:textId="77777777" w:rsidR="00CF6F8D" w:rsidRPr="00184FA4" w:rsidRDefault="00CF6F8D">
            <w:pPr>
              <w:pStyle w:val="Heading3"/>
              <w:spacing w:after="58"/>
              <w:jc w:val="center"/>
              <w:rPr>
                <w:rFonts w:ascii="Arial" w:hAnsi="Arial" w:cs="Arial"/>
                <w:b w:val="0"/>
                <w:caps/>
              </w:rPr>
            </w:pPr>
            <w:r w:rsidRPr="00184FA4">
              <w:rPr>
                <w:rFonts w:ascii="Arial" w:hAnsi="Arial" w:cs="Arial"/>
                <w:b w:val="0"/>
              </w:rPr>
              <w:t>Gain an understanding and experience of work in the specialist area of work undertaken by the pupil master and the chambers or employer where the pupillage is being undertaken</w:t>
            </w:r>
          </w:p>
          <w:p w14:paraId="25B178E7" w14:textId="77777777" w:rsidR="00CF6F8D" w:rsidRPr="00184FA4" w:rsidRDefault="00CF6F8D">
            <w:pPr>
              <w:spacing w:after="58"/>
              <w:ind w:left="-42"/>
              <w:jc w:val="center"/>
              <w:rPr>
                <w:rFonts w:ascii="Arial" w:hAnsi="Arial" w:cs="Arial"/>
                <w:caps/>
              </w:rPr>
            </w:pPr>
          </w:p>
        </w:tc>
      </w:tr>
    </w:tbl>
    <w:p w14:paraId="2AED8F13" w14:textId="77777777" w:rsidR="00CF6F8D" w:rsidRPr="00184FA4" w:rsidRDefault="00CF6F8D">
      <w:pPr>
        <w:rPr>
          <w:rFonts w:ascii="Arial" w:hAnsi="Arial" w:cs="Arial"/>
        </w:rPr>
      </w:pPr>
    </w:p>
    <w:tbl>
      <w:tblPr>
        <w:tblW w:w="10024" w:type="dxa"/>
        <w:tblInd w:w="-7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4"/>
        <w:gridCol w:w="4830"/>
        <w:gridCol w:w="1690"/>
      </w:tblGrid>
      <w:tr w:rsidR="00CF6F8D" w:rsidRPr="00184FA4" w14:paraId="720D89C8" w14:textId="77777777" w:rsidTr="00184FA4">
        <w:trPr>
          <w:trHeight w:val="360"/>
          <w:tblHeader/>
        </w:trPr>
        <w:tc>
          <w:tcPr>
            <w:tcW w:w="3504" w:type="dxa"/>
          </w:tcPr>
          <w:p w14:paraId="7696A06B" w14:textId="77777777" w:rsidR="00CF6F8D" w:rsidRPr="00184FA4" w:rsidRDefault="00CF6F8D">
            <w:pPr>
              <w:pStyle w:val="Footer"/>
              <w:tabs>
                <w:tab w:val="clear" w:pos="4153"/>
                <w:tab w:val="clear" w:pos="8306"/>
                <w:tab w:val="left" w:pos="49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830" w:type="dxa"/>
            <w:vAlign w:val="center"/>
          </w:tcPr>
          <w:p w14:paraId="0B9524E2" w14:textId="77777777" w:rsidR="00CF6F8D" w:rsidRPr="00184FA4" w:rsidRDefault="00CF6F8D">
            <w:pPr>
              <w:tabs>
                <w:tab w:val="left" w:pos="318"/>
                <w:tab w:val="left" w:pos="4818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184FA4">
              <w:rPr>
                <w:rFonts w:ascii="Arial" w:hAnsi="Arial" w:cs="Arial"/>
                <w:b/>
                <w:szCs w:val="22"/>
              </w:rPr>
              <w:t>Comment</w:t>
            </w:r>
          </w:p>
        </w:tc>
        <w:tc>
          <w:tcPr>
            <w:tcW w:w="1690" w:type="dxa"/>
            <w:vAlign w:val="center"/>
          </w:tcPr>
          <w:p w14:paraId="73B496E3" w14:textId="2D81A619" w:rsidR="00CF6F8D" w:rsidRPr="00184FA4" w:rsidRDefault="00CF6F8D" w:rsidP="00184FA4">
            <w:pPr>
              <w:tabs>
                <w:tab w:val="left" w:pos="318"/>
                <w:tab w:val="left" w:pos="4818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184FA4">
              <w:rPr>
                <w:rFonts w:ascii="Arial" w:hAnsi="Arial" w:cs="Arial"/>
                <w:b/>
                <w:szCs w:val="22"/>
              </w:rPr>
              <w:t>Satisfactorily</w:t>
            </w:r>
            <w:r w:rsidR="00184FA4" w:rsidRPr="00184FA4">
              <w:rPr>
                <w:rFonts w:ascii="Arial" w:hAnsi="Arial" w:cs="Arial"/>
                <w:b/>
                <w:szCs w:val="22"/>
              </w:rPr>
              <w:t xml:space="preserve"> c</w:t>
            </w:r>
            <w:r w:rsidRPr="00184FA4">
              <w:rPr>
                <w:rFonts w:ascii="Arial" w:hAnsi="Arial" w:cs="Arial"/>
                <w:b/>
                <w:szCs w:val="22"/>
              </w:rPr>
              <w:t>ompleted</w:t>
            </w:r>
          </w:p>
        </w:tc>
      </w:tr>
      <w:tr w:rsidR="00CF6F8D" w:rsidRPr="00184FA4" w14:paraId="6B58D7DA" w14:textId="77777777">
        <w:trPr>
          <w:cantSplit/>
          <w:trHeight w:val="360"/>
        </w:trPr>
        <w:tc>
          <w:tcPr>
            <w:tcW w:w="10024" w:type="dxa"/>
            <w:gridSpan w:val="3"/>
          </w:tcPr>
          <w:p w14:paraId="0C6BBFA9" w14:textId="77777777" w:rsidR="00CF6F8D" w:rsidRPr="00184FA4" w:rsidRDefault="00CF6F8D">
            <w:pPr>
              <w:pStyle w:val="Footer"/>
              <w:tabs>
                <w:tab w:val="left" w:pos="498"/>
              </w:tabs>
              <w:rPr>
                <w:rFonts w:ascii="Arial" w:hAnsi="Arial" w:cs="Arial"/>
                <w:b/>
                <w:szCs w:val="22"/>
              </w:rPr>
            </w:pPr>
            <w:r w:rsidRPr="00184FA4">
              <w:rPr>
                <w:rFonts w:ascii="Arial" w:hAnsi="Arial" w:cs="Arial"/>
                <w:b/>
                <w:szCs w:val="22"/>
              </w:rPr>
              <w:t>PART ONE: CASE PREPARATION</w:t>
            </w:r>
          </w:p>
          <w:p w14:paraId="1CA46F91" w14:textId="77777777" w:rsidR="00CF6F8D" w:rsidRPr="00184FA4" w:rsidRDefault="00CF6F8D">
            <w:pPr>
              <w:tabs>
                <w:tab w:val="left" w:pos="318"/>
                <w:tab w:val="left" w:pos="4818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F6F8D" w:rsidRPr="00184FA4" w14:paraId="57CD7BA8" w14:textId="77777777" w:rsidTr="00184FA4">
        <w:trPr>
          <w:trHeight w:val="360"/>
        </w:trPr>
        <w:tc>
          <w:tcPr>
            <w:tcW w:w="3504" w:type="dxa"/>
          </w:tcPr>
          <w:p w14:paraId="4A5DBFA7" w14:textId="1FE3A5E9" w:rsidR="00CF6F8D" w:rsidRPr="00184FA4" w:rsidRDefault="00CF6F8D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>Taking instructions from client in conference</w:t>
            </w:r>
            <w:r w:rsidR="00E87A01" w:rsidRPr="00184FA4">
              <w:rPr>
                <w:rFonts w:ascii="Arial" w:hAnsi="Arial" w:cs="Arial"/>
                <w:bCs/>
                <w:szCs w:val="22"/>
              </w:rPr>
              <w:t xml:space="preserve">, </w:t>
            </w:r>
            <w:r w:rsidR="00E87A01" w:rsidRPr="00184FA4">
              <w:rPr>
                <w:rFonts w:ascii="Arial" w:hAnsi="Arial" w:cs="Arial"/>
                <w:spacing w:val="-4"/>
                <w:szCs w:val="22"/>
              </w:rPr>
              <w:t>where possible including using an interpreter</w:t>
            </w:r>
            <w:r w:rsidR="00184FA4">
              <w:rPr>
                <w:rFonts w:ascii="Arial" w:hAnsi="Arial" w:cs="Arial"/>
                <w:spacing w:val="-4"/>
                <w:szCs w:val="22"/>
              </w:rPr>
              <w:t>.</w:t>
            </w:r>
          </w:p>
          <w:p w14:paraId="098E5472" w14:textId="7B60A6F2" w:rsidR="00CF6F8D" w:rsidRPr="00184FA4" w:rsidRDefault="00CF6F8D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>Advising client</w:t>
            </w:r>
            <w:r w:rsidR="00F814C9" w:rsidRPr="00184FA4">
              <w:rPr>
                <w:rFonts w:ascii="Arial" w:hAnsi="Arial" w:cs="Arial"/>
                <w:bCs/>
                <w:szCs w:val="22"/>
              </w:rPr>
              <w:t xml:space="preserve"> </w:t>
            </w:r>
            <w:r w:rsidR="009B24D5" w:rsidRPr="00184FA4">
              <w:rPr>
                <w:rFonts w:ascii="Arial" w:hAnsi="Arial" w:cs="Arial"/>
                <w:bCs/>
                <w:szCs w:val="22"/>
              </w:rPr>
              <w:t xml:space="preserve">in writing </w:t>
            </w:r>
            <w:r w:rsidR="00485A11" w:rsidRPr="00184FA4">
              <w:rPr>
                <w:rFonts w:ascii="Arial" w:hAnsi="Arial" w:cs="Arial"/>
                <w:bCs/>
                <w:szCs w:val="22"/>
              </w:rPr>
              <w:t xml:space="preserve">as to </w:t>
            </w:r>
            <w:r w:rsidRPr="00184FA4">
              <w:rPr>
                <w:rFonts w:ascii="Arial" w:hAnsi="Arial" w:cs="Arial"/>
                <w:bCs/>
                <w:szCs w:val="22"/>
              </w:rPr>
              <w:t>what further documentary evidence</w:t>
            </w:r>
            <w:r w:rsidR="00CF66B9" w:rsidRPr="00184FA4">
              <w:rPr>
                <w:rFonts w:ascii="Arial" w:hAnsi="Arial" w:cs="Arial"/>
                <w:bCs/>
                <w:szCs w:val="22"/>
              </w:rPr>
              <w:t xml:space="preserve"> and</w:t>
            </w:r>
            <w:r w:rsidR="00184FA4">
              <w:rPr>
                <w:rFonts w:ascii="Arial" w:hAnsi="Arial" w:cs="Arial"/>
                <w:bCs/>
                <w:szCs w:val="22"/>
              </w:rPr>
              <w:t xml:space="preserve"> </w:t>
            </w:r>
            <w:r w:rsidR="009B24D5" w:rsidRPr="00184FA4">
              <w:rPr>
                <w:rFonts w:ascii="Arial" w:hAnsi="Arial" w:cs="Arial"/>
                <w:bCs/>
                <w:szCs w:val="22"/>
              </w:rPr>
              <w:t>/</w:t>
            </w:r>
            <w:r w:rsidR="00184FA4">
              <w:rPr>
                <w:rFonts w:ascii="Arial" w:hAnsi="Arial" w:cs="Arial"/>
                <w:bCs/>
                <w:szCs w:val="22"/>
              </w:rPr>
              <w:t xml:space="preserve"> </w:t>
            </w:r>
            <w:r w:rsidR="009B24D5" w:rsidRPr="00184FA4">
              <w:rPr>
                <w:rFonts w:ascii="Arial" w:hAnsi="Arial" w:cs="Arial"/>
                <w:bCs/>
                <w:szCs w:val="22"/>
              </w:rPr>
              <w:t>or</w:t>
            </w:r>
            <w:r w:rsidR="00CF66B9" w:rsidRPr="00184FA4">
              <w:rPr>
                <w:rFonts w:ascii="Arial" w:hAnsi="Arial" w:cs="Arial"/>
                <w:bCs/>
                <w:szCs w:val="22"/>
              </w:rPr>
              <w:t xml:space="preserve"> </w:t>
            </w:r>
            <w:r w:rsidR="0057748F" w:rsidRPr="00184FA4">
              <w:rPr>
                <w:rFonts w:ascii="Arial" w:hAnsi="Arial" w:cs="Arial"/>
                <w:bCs/>
                <w:szCs w:val="22"/>
              </w:rPr>
              <w:t>witness evidence</w:t>
            </w:r>
            <w:r w:rsidRPr="00184FA4">
              <w:rPr>
                <w:rFonts w:ascii="Arial" w:hAnsi="Arial" w:cs="Arial"/>
                <w:bCs/>
                <w:szCs w:val="22"/>
              </w:rPr>
              <w:t xml:space="preserve"> is required</w:t>
            </w:r>
            <w:r w:rsidR="006B2EB7" w:rsidRPr="00184FA4">
              <w:rPr>
                <w:rFonts w:ascii="Arial" w:hAnsi="Arial" w:cs="Arial"/>
                <w:bCs/>
                <w:szCs w:val="22"/>
              </w:rPr>
              <w:t xml:space="preserve"> </w:t>
            </w:r>
            <w:r w:rsidR="00B17910" w:rsidRPr="00184FA4">
              <w:rPr>
                <w:rFonts w:ascii="Arial" w:hAnsi="Arial" w:cs="Arial"/>
                <w:bCs/>
                <w:szCs w:val="22"/>
              </w:rPr>
              <w:t>in respect of a forthcoming hearing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344A46AC" w14:textId="5CE75871" w:rsidR="00514189" w:rsidRPr="00184FA4" w:rsidRDefault="00514189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 xml:space="preserve">Advising in conference as to procedure (in respect of </w:t>
            </w:r>
            <w:r w:rsidR="0057748F" w:rsidRPr="00184FA4">
              <w:rPr>
                <w:rFonts w:ascii="Arial" w:hAnsi="Arial" w:cs="Arial"/>
                <w:bCs/>
                <w:szCs w:val="22"/>
              </w:rPr>
              <w:t xml:space="preserve">an </w:t>
            </w:r>
            <w:r w:rsidRPr="00184FA4">
              <w:rPr>
                <w:rFonts w:ascii="Arial" w:hAnsi="Arial" w:cs="Arial"/>
                <w:bCs/>
                <w:szCs w:val="22"/>
              </w:rPr>
              <w:t>application or forthcoming hearing)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2086033C" w14:textId="7448FB80" w:rsidR="007B0D05" w:rsidRPr="00184FA4" w:rsidRDefault="007B0D05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 xml:space="preserve">Advising and assisting </w:t>
            </w:r>
            <w:r w:rsidR="00F814C9" w:rsidRPr="00184FA4">
              <w:rPr>
                <w:rFonts w:ascii="Arial" w:hAnsi="Arial" w:cs="Arial"/>
                <w:bCs/>
                <w:szCs w:val="22"/>
              </w:rPr>
              <w:t xml:space="preserve">on </w:t>
            </w:r>
            <w:r w:rsidRPr="00184FA4">
              <w:rPr>
                <w:rFonts w:ascii="Arial" w:hAnsi="Arial" w:cs="Arial"/>
                <w:bCs/>
                <w:szCs w:val="22"/>
              </w:rPr>
              <w:t xml:space="preserve">completion of </w:t>
            </w:r>
            <w:r w:rsidR="00F814C9" w:rsidRPr="00184FA4">
              <w:rPr>
                <w:rFonts w:ascii="Arial" w:hAnsi="Arial" w:cs="Arial"/>
                <w:bCs/>
                <w:szCs w:val="22"/>
              </w:rPr>
              <w:t xml:space="preserve">an </w:t>
            </w:r>
            <w:r w:rsidRPr="00184FA4">
              <w:rPr>
                <w:rFonts w:ascii="Arial" w:hAnsi="Arial" w:cs="Arial"/>
                <w:bCs/>
                <w:szCs w:val="22"/>
              </w:rPr>
              <w:t>application for leave to remain to the Secretary of State (a) under the immigration rules</w:t>
            </w:r>
            <w:r w:rsidR="00F814C9" w:rsidRPr="00184FA4">
              <w:rPr>
                <w:rFonts w:ascii="Arial" w:hAnsi="Arial" w:cs="Arial"/>
                <w:bCs/>
                <w:szCs w:val="22"/>
              </w:rPr>
              <w:t>, and</w:t>
            </w:r>
            <w:r w:rsidRPr="00184FA4">
              <w:rPr>
                <w:rFonts w:ascii="Arial" w:hAnsi="Arial" w:cs="Arial"/>
                <w:bCs/>
                <w:szCs w:val="22"/>
              </w:rPr>
              <w:t xml:space="preserve"> (b) outside the immigration rules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5036EAF7" w14:textId="30DB9DFF" w:rsidR="007B0D05" w:rsidRPr="00184FA4" w:rsidRDefault="007B0D05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>Drafting representations in support of</w:t>
            </w:r>
            <w:r w:rsidR="00485A11" w:rsidRPr="00184FA4">
              <w:rPr>
                <w:rFonts w:ascii="Arial" w:hAnsi="Arial" w:cs="Arial"/>
                <w:bCs/>
                <w:szCs w:val="22"/>
              </w:rPr>
              <w:t xml:space="preserve"> an</w:t>
            </w:r>
            <w:r w:rsidRPr="00184FA4">
              <w:rPr>
                <w:rFonts w:ascii="Arial" w:hAnsi="Arial" w:cs="Arial"/>
                <w:bCs/>
                <w:szCs w:val="22"/>
              </w:rPr>
              <w:t xml:space="preserve"> application (a) for leave to remain; (b) to stop removal;</w:t>
            </w:r>
            <w:r w:rsidR="00676685" w:rsidRPr="00184FA4">
              <w:rPr>
                <w:rFonts w:ascii="Arial" w:hAnsi="Arial" w:cs="Arial"/>
                <w:bCs/>
                <w:szCs w:val="22"/>
              </w:rPr>
              <w:t xml:space="preserve"> and</w:t>
            </w:r>
            <w:r w:rsidRPr="00184FA4">
              <w:rPr>
                <w:rFonts w:ascii="Arial" w:hAnsi="Arial" w:cs="Arial"/>
                <w:bCs/>
                <w:szCs w:val="22"/>
              </w:rPr>
              <w:t xml:space="preserve"> (c) for temporary release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65E0DB39" w14:textId="2EE562B9" w:rsidR="007B0D05" w:rsidRPr="00184FA4" w:rsidRDefault="007B0D05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 xml:space="preserve">Drafting judicial review </w:t>
            </w:r>
            <w:r w:rsidR="00676685" w:rsidRPr="00184FA4">
              <w:rPr>
                <w:rFonts w:ascii="Arial" w:hAnsi="Arial" w:cs="Arial"/>
                <w:bCs/>
                <w:szCs w:val="22"/>
              </w:rPr>
              <w:t>pre-action</w:t>
            </w:r>
            <w:r w:rsidRPr="00184FA4">
              <w:rPr>
                <w:rFonts w:ascii="Arial" w:hAnsi="Arial" w:cs="Arial"/>
                <w:bCs/>
                <w:szCs w:val="22"/>
              </w:rPr>
              <w:t xml:space="preserve"> letter</w:t>
            </w:r>
            <w:r w:rsidR="00676685" w:rsidRPr="00184FA4">
              <w:rPr>
                <w:rFonts w:ascii="Arial" w:hAnsi="Arial" w:cs="Arial"/>
                <w:bCs/>
                <w:szCs w:val="22"/>
              </w:rPr>
              <w:t xml:space="preserve"> before claim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7E46FD35" w14:textId="6F6B1517" w:rsidR="00CF6F8D" w:rsidRPr="00184FA4" w:rsidRDefault="00CF6F8D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 xml:space="preserve">Drafting grounds of appeal </w:t>
            </w:r>
            <w:r w:rsidR="00676685" w:rsidRPr="00184FA4">
              <w:rPr>
                <w:rFonts w:ascii="Arial" w:hAnsi="Arial" w:cs="Arial"/>
                <w:bCs/>
                <w:szCs w:val="22"/>
              </w:rPr>
              <w:t>to the First</w:t>
            </w:r>
            <w:r w:rsidR="00977B56" w:rsidRPr="00184FA4">
              <w:rPr>
                <w:rFonts w:ascii="Arial" w:hAnsi="Arial" w:cs="Arial"/>
                <w:bCs/>
                <w:szCs w:val="22"/>
              </w:rPr>
              <w:t xml:space="preserve">-tier Tribunal </w:t>
            </w:r>
            <w:r w:rsidRPr="00184FA4">
              <w:rPr>
                <w:rFonts w:ascii="Arial" w:hAnsi="Arial" w:cs="Arial"/>
                <w:bCs/>
                <w:szCs w:val="22"/>
              </w:rPr>
              <w:t xml:space="preserve">against </w:t>
            </w:r>
            <w:r w:rsidR="00485A11" w:rsidRPr="00184FA4">
              <w:rPr>
                <w:rFonts w:ascii="Arial" w:hAnsi="Arial" w:cs="Arial"/>
                <w:bCs/>
                <w:szCs w:val="22"/>
              </w:rPr>
              <w:t xml:space="preserve">an </w:t>
            </w:r>
            <w:r w:rsidR="00711B60" w:rsidRPr="00184FA4">
              <w:rPr>
                <w:rFonts w:ascii="Arial" w:hAnsi="Arial" w:cs="Arial"/>
                <w:bCs/>
                <w:szCs w:val="22"/>
              </w:rPr>
              <w:t xml:space="preserve">immigration </w:t>
            </w:r>
            <w:r w:rsidRPr="00184FA4">
              <w:rPr>
                <w:rFonts w:ascii="Arial" w:hAnsi="Arial" w:cs="Arial"/>
                <w:bCs/>
                <w:szCs w:val="22"/>
              </w:rPr>
              <w:t>decision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73E244BF" w14:textId="7A14F68F" w:rsidR="00CF6F8D" w:rsidRPr="00184FA4" w:rsidRDefault="00F75BF3" w:rsidP="00F56B69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184FA4">
              <w:rPr>
                <w:rFonts w:ascii="Arial" w:hAnsi="Arial" w:cs="Arial"/>
                <w:bCs/>
                <w:szCs w:val="22"/>
              </w:rPr>
              <w:t xml:space="preserve">Noting </w:t>
            </w:r>
            <w:r w:rsidR="00CF6F8D" w:rsidRPr="00184FA4">
              <w:rPr>
                <w:rFonts w:ascii="Arial" w:hAnsi="Arial" w:cs="Arial"/>
                <w:bCs/>
                <w:szCs w:val="22"/>
              </w:rPr>
              <w:t>directions</w:t>
            </w:r>
            <w:r w:rsidRPr="00184FA4">
              <w:rPr>
                <w:rFonts w:ascii="Arial" w:hAnsi="Arial" w:cs="Arial"/>
                <w:bCs/>
                <w:szCs w:val="22"/>
              </w:rPr>
              <w:t xml:space="preserve"> </w:t>
            </w:r>
            <w:r w:rsidR="00711B60" w:rsidRPr="00184FA4">
              <w:rPr>
                <w:rFonts w:ascii="Arial" w:hAnsi="Arial" w:cs="Arial"/>
                <w:bCs/>
                <w:szCs w:val="22"/>
              </w:rPr>
              <w:t>and</w:t>
            </w:r>
            <w:r w:rsidRPr="00184FA4">
              <w:rPr>
                <w:rFonts w:ascii="Arial" w:hAnsi="Arial" w:cs="Arial"/>
                <w:bCs/>
                <w:szCs w:val="22"/>
              </w:rPr>
              <w:t xml:space="preserve"> planning</w:t>
            </w:r>
            <w:r w:rsidR="007158EB" w:rsidRPr="00184FA4">
              <w:rPr>
                <w:rFonts w:ascii="Arial" w:hAnsi="Arial" w:cs="Arial"/>
                <w:bCs/>
                <w:szCs w:val="22"/>
              </w:rPr>
              <w:t xml:space="preserve"> </w:t>
            </w:r>
            <w:r w:rsidR="00711B60" w:rsidRPr="00184FA4">
              <w:rPr>
                <w:rFonts w:ascii="Arial" w:hAnsi="Arial" w:cs="Arial"/>
                <w:bCs/>
                <w:szCs w:val="22"/>
              </w:rPr>
              <w:t>to ensure</w:t>
            </w:r>
            <w:r w:rsidR="007158EB" w:rsidRPr="00184FA4">
              <w:rPr>
                <w:rFonts w:ascii="Arial" w:hAnsi="Arial" w:cs="Arial"/>
                <w:bCs/>
                <w:szCs w:val="22"/>
              </w:rPr>
              <w:t xml:space="preserve"> </w:t>
            </w:r>
            <w:r w:rsidR="00711B60" w:rsidRPr="00184FA4">
              <w:rPr>
                <w:rFonts w:ascii="Arial" w:hAnsi="Arial" w:cs="Arial"/>
                <w:bCs/>
                <w:szCs w:val="22"/>
              </w:rPr>
              <w:t>work is completed in time to enable compliance with directions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  <w:r w:rsidR="00977B56" w:rsidRPr="00184FA4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14:paraId="4A743C36" w14:textId="56BE817B" w:rsidR="00CF6F8D" w:rsidRPr="00184FA4" w:rsidRDefault="00711B60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lastRenderedPageBreak/>
              <w:t xml:space="preserve">Advising as to contents of </w:t>
            </w:r>
            <w:r w:rsidR="004F0D65" w:rsidRPr="00184FA4">
              <w:rPr>
                <w:rFonts w:ascii="Arial" w:hAnsi="Arial" w:cs="Arial"/>
                <w:bCs/>
                <w:szCs w:val="22"/>
              </w:rPr>
              <w:t xml:space="preserve">an </w:t>
            </w:r>
            <w:r w:rsidR="007158EB" w:rsidRPr="00184FA4">
              <w:rPr>
                <w:rFonts w:ascii="Arial" w:hAnsi="Arial" w:cs="Arial"/>
                <w:bCs/>
                <w:szCs w:val="22"/>
              </w:rPr>
              <w:t xml:space="preserve">appeal </w:t>
            </w:r>
            <w:r w:rsidRPr="00184FA4">
              <w:rPr>
                <w:rFonts w:ascii="Arial" w:hAnsi="Arial" w:cs="Arial"/>
                <w:bCs/>
                <w:szCs w:val="22"/>
              </w:rPr>
              <w:t>bundle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  <w:r w:rsidRPr="00184FA4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14:paraId="6836C1F3" w14:textId="1143B8AC" w:rsidR="00CF6F8D" w:rsidRPr="00184FA4" w:rsidRDefault="00BA7FCD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>A</w:t>
            </w:r>
            <w:r w:rsidR="00711B60" w:rsidRPr="00184FA4">
              <w:rPr>
                <w:rFonts w:ascii="Arial" w:hAnsi="Arial" w:cs="Arial"/>
                <w:bCs/>
                <w:szCs w:val="22"/>
              </w:rPr>
              <w:t>dvising as to any requirements for expert medical or psychiatric evidence and as to instructions for</w:t>
            </w:r>
            <w:r w:rsidR="004F0D65" w:rsidRPr="00184FA4">
              <w:rPr>
                <w:rFonts w:ascii="Arial" w:hAnsi="Arial" w:cs="Arial"/>
                <w:bCs/>
                <w:szCs w:val="22"/>
              </w:rPr>
              <w:t xml:space="preserve"> </w:t>
            </w:r>
            <w:r w:rsidR="00711B60" w:rsidRPr="00184FA4">
              <w:rPr>
                <w:rFonts w:ascii="Arial" w:hAnsi="Arial" w:cs="Arial"/>
                <w:bCs/>
                <w:szCs w:val="22"/>
              </w:rPr>
              <w:t>expert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17BB7B6B" w14:textId="2D22F253" w:rsidR="00CF6F8D" w:rsidRPr="00184FA4" w:rsidRDefault="00BA7FCD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 xml:space="preserve">Advising as to any requirements for </w:t>
            </w:r>
            <w:r w:rsidR="00CF6F8D" w:rsidRPr="00184FA4">
              <w:rPr>
                <w:rFonts w:ascii="Arial" w:hAnsi="Arial" w:cs="Arial"/>
                <w:bCs/>
                <w:szCs w:val="22"/>
              </w:rPr>
              <w:t>expert evidence (eg</w:t>
            </w:r>
            <w:r w:rsidR="00184FA4">
              <w:rPr>
                <w:rFonts w:ascii="Arial" w:hAnsi="Arial" w:cs="Arial"/>
                <w:bCs/>
                <w:szCs w:val="22"/>
              </w:rPr>
              <w:t>,</w:t>
            </w:r>
            <w:r w:rsidR="00CF6F8D" w:rsidRPr="00184FA4">
              <w:rPr>
                <w:rFonts w:ascii="Arial" w:hAnsi="Arial" w:cs="Arial"/>
                <w:bCs/>
                <w:szCs w:val="22"/>
              </w:rPr>
              <w:t xml:space="preserve"> on conditions in country of claimed persecution)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0E7A802E" w14:textId="30B73112" w:rsidR="00CF6F8D" w:rsidRPr="00184FA4" w:rsidRDefault="00E9014C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>S</w:t>
            </w:r>
            <w:r w:rsidR="00821884" w:rsidRPr="00184FA4">
              <w:rPr>
                <w:rFonts w:ascii="Arial" w:hAnsi="Arial" w:cs="Arial"/>
                <w:bCs/>
                <w:szCs w:val="22"/>
              </w:rPr>
              <w:t>ettling</w:t>
            </w:r>
            <w:r w:rsidRPr="00184FA4">
              <w:rPr>
                <w:rFonts w:ascii="Arial" w:hAnsi="Arial" w:cs="Arial"/>
                <w:bCs/>
                <w:szCs w:val="22"/>
              </w:rPr>
              <w:t xml:space="preserve"> and, where appropriate, drafting </w:t>
            </w:r>
            <w:r w:rsidR="00821884" w:rsidRPr="00184FA4">
              <w:rPr>
                <w:rFonts w:ascii="Arial" w:hAnsi="Arial" w:cs="Arial"/>
                <w:bCs/>
                <w:szCs w:val="22"/>
              </w:rPr>
              <w:t>witness statements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  <w:r w:rsidR="00711B60" w:rsidRPr="00184FA4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14:paraId="0C94230E" w14:textId="2C1977CE" w:rsidR="00CF6F8D" w:rsidRPr="00184FA4" w:rsidRDefault="00711B60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 xml:space="preserve">Advising as to bail rights, procedure and evidence; </w:t>
            </w:r>
            <w:r w:rsidR="00302F17" w:rsidRPr="00184FA4">
              <w:rPr>
                <w:rFonts w:ascii="Arial" w:hAnsi="Arial" w:cs="Arial"/>
                <w:bCs/>
                <w:szCs w:val="22"/>
              </w:rPr>
              <w:t xml:space="preserve">assisting with </w:t>
            </w:r>
            <w:r w:rsidRPr="00184FA4">
              <w:rPr>
                <w:rFonts w:ascii="Arial" w:hAnsi="Arial" w:cs="Arial"/>
                <w:bCs/>
                <w:szCs w:val="22"/>
              </w:rPr>
              <w:t>prepar</w:t>
            </w:r>
            <w:r w:rsidR="00302F17" w:rsidRPr="00184FA4">
              <w:rPr>
                <w:rFonts w:ascii="Arial" w:hAnsi="Arial" w:cs="Arial"/>
                <w:bCs/>
                <w:szCs w:val="22"/>
              </w:rPr>
              <w:t xml:space="preserve">ation of </w:t>
            </w:r>
            <w:r w:rsidRPr="00184FA4">
              <w:rPr>
                <w:rFonts w:ascii="Arial" w:hAnsi="Arial" w:cs="Arial"/>
                <w:bCs/>
                <w:szCs w:val="22"/>
              </w:rPr>
              <w:t>a bail application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2A11885C" w14:textId="2AC24196" w:rsidR="00711B60" w:rsidRPr="00184FA4" w:rsidRDefault="00711B60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 xml:space="preserve">Drafting </w:t>
            </w:r>
            <w:r w:rsidR="004F0D65" w:rsidRPr="00184FA4">
              <w:rPr>
                <w:rFonts w:ascii="Arial" w:hAnsi="Arial" w:cs="Arial"/>
                <w:bCs/>
                <w:szCs w:val="22"/>
              </w:rPr>
              <w:t xml:space="preserve">a </w:t>
            </w:r>
            <w:r w:rsidRPr="00184FA4">
              <w:rPr>
                <w:rFonts w:ascii="Arial" w:hAnsi="Arial" w:cs="Arial"/>
                <w:bCs/>
                <w:szCs w:val="22"/>
              </w:rPr>
              <w:t>skeleton argument</w:t>
            </w:r>
            <w:r w:rsidR="00302F17" w:rsidRPr="00184FA4">
              <w:rPr>
                <w:rFonts w:ascii="Arial" w:hAnsi="Arial" w:cs="Arial"/>
                <w:bCs/>
                <w:szCs w:val="22"/>
              </w:rPr>
              <w:t xml:space="preserve"> for</w:t>
            </w:r>
            <w:r w:rsidR="00FF7469" w:rsidRPr="00184FA4">
              <w:rPr>
                <w:rFonts w:ascii="Arial" w:hAnsi="Arial" w:cs="Arial"/>
                <w:bCs/>
                <w:szCs w:val="22"/>
              </w:rPr>
              <w:t xml:space="preserve"> an </w:t>
            </w:r>
            <w:r w:rsidR="00302F17" w:rsidRPr="00184FA4">
              <w:rPr>
                <w:rFonts w:ascii="Arial" w:hAnsi="Arial" w:cs="Arial"/>
                <w:bCs/>
                <w:szCs w:val="22"/>
              </w:rPr>
              <w:t>immigration appeal hearing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7DA8F4B4" w14:textId="55144AF0" w:rsidR="00711B60" w:rsidRPr="00184FA4" w:rsidRDefault="00711B60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 xml:space="preserve">Advising </w:t>
            </w:r>
            <w:r w:rsidR="009D2CD0" w:rsidRPr="00184FA4">
              <w:rPr>
                <w:rFonts w:ascii="Arial" w:hAnsi="Arial" w:cs="Arial"/>
                <w:bCs/>
                <w:szCs w:val="22"/>
              </w:rPr>
              <w:t xml:space="preserve">in writing </w:t>
            </w:r>
            <w:r w:rsidRPr="00184FA4">
              <w:rPr>
                <w:rFonts w:ascii="Arial" w:hAnsi="Arial" w:cs="Arial"/>
                <w:bCs/>
                <w:szCs w:val="22"/>
              </w:rPr>
              <w:t xml:space="preserve">as to merits of bringing </w:t>
            </w:r>
            <w:r w:rsidR="00FF7469" w:rsidRPr="00184FA4">
              <w:rPr>
                <w:rFonts w:ascii="Arial" w:hAnsi="Arial" w:cs="Arial"/>
                <w:bCs/>
                <w:szCs w:val="22"/>
              </w:rPr>
              <w:t xml:space="preserve">a claim for </w:t>
            </w:r>
            <w:r w:rsidRPr="00184FA4">
              <w:rPr>
                <w:rFonts w:ascii="Arial" w:hAnsi="Arial" w:cs="Arial"/>
                <w:bCs/>
                <w:szCs w:val="22"/>
              </w:rPr>
              <w:t>judicial review and</w:t>
            </w:r>
            <w:r w:rsidR="00FF7469" w:rsidRPr="00184FA4">
              <w:rPr>
                <w:rFonts w:ascii="Arial" w:hAnsi="Arial" w:cs="Arial"/>
                <w:bCs/>
                <w:szCs w:val="22"/>
              </w:rPr>
              <w:t xml:space="preserve"> of bringin</w:t>
            </w:r>
            <w:r w:rsidR="002223EB" w:rsidRPr="00184FA4">
              <w:rPr>
                <w:rFonts w:ascii="Arial" w:hAnsi="Arial" w:cs="Arial"/>
                <w:bCs/>
                <w:szCs w:val="22"/>
              </w:rPr>
              <w:t>g</w:t>
            </w:r>
            <w:r w:rsidR="00FF7469" w:rsidRPr="00184FA4">
              <w:rPr>
                <w:rFonts w:ascii="Arial" w:hAnsi="Arial" w:cs="Arial"/>
                <w:bCs/>
                <w:szCs w:val="22"/>
              </w:rPr>
              <w:t xml:space="preserve"> an immigration </w:t>
            </w:r>
            <w:r w:rsidRPr="00184FA4">
              <w:rPr>
                <w:rFonts w:ascii="Arial" w:hAnsi="Arial" w:cs="Arial"/>
                <w:bCs/>
                <w:szCs w:val="22"/>
              </w:rPr>
              <w:t>appeal</w:t>
            </w:r>
            <w:r w:rsidR="00184FA4">
              <w:rPr>
                <w:rFonts w:ascii="Arial" w:hAnsi="Arial" w:cs="Arial"/>
                <w:bCs/>
                <w:szCs w:val="22"/>
              </w:rPr>
              <w:t xml:space="preserve">. </w:t>
            </w:r>
            <w:r w:rsidRPr="00184FA4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14:paraId="55C0A1F0" w14:textId="068BC157" w:rsidR="00711B60" w:rsidRPr="00184FA4" w:rsidRDefault="00711B60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 xml:space="preserve">Drafting </w:t>
            </w:r>
            <w:r w:rsidR="007B0D05" w:rsidRPr="00184FA4">
              <w:rPr>
                <w:rFonts w:ascii="Arial" w:hAnsi="Arial" w:cs="Arial"/>
                <w:bCs/>
                <w:szCs w:val="22"/>
              </w:rPr>
              <w:t xml:space="preserve">a </w:t>
            </w:r>
            <w:r w:rsidR="009D2CD0" w:rsidRPr="00184FA4">
              <w:rPr>
                <w:rFonts w:ascii="Arial" w:hAnsi="Arial" w:cs="Arial"/>
                <w:bCs/>
                <w:szCs w:val="22"/>
              </w:rPr>
              <w:t xml:space="preserve">detailed </w:t>
            </w:r>
            <w:r w:rsidRPr="00184FA4">
              <w:rPr>
                <w:rFonts w:ascii="Arial" w:hAnsi="Arial" w:cs="Arial"/>
                <w:bCs/>
                <w:szCs w:val="22"/>
              </w:rPr>
              <w:t>statement of facts and grounds in support of a claim for judicial review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5A115A77" w14:textId="3A84EC84" w:rsidR="00711B60" w:rsidRPr="00184FA4" w:rsidRDefault="00711B60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>Drafting an application for interim relief in judicial review proceedings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66C85EBF" w14:textId="1872497D" w:rsidR="007B0D05" w:rsidRPr="00184FA4" w:rsidRDefault="007B0D05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 xml:space="preserve">Drafting </w:t>
            </w:r>
            <w:r w:rsidR="009D2CD0" w:rsidRPr="00184FA4">
              <w:rPr>
                <w:rFonts w:ascii="Arial" w:hAnsi="Arial" w:cs="Arial"/>
                <w:bCs/>
                <w:szCs w:val="22"/>
              </w:rPr>
              <w:t xml:space="preserve">an </w:t>
            </w:r>
            <w:r w:rsidRPr="00184FA4">
              <w:rPr>
                <w:rFonts w:ascii="Arial" w:hAnsi="Arial" w:cs="Arial"/>
                <w:bCs/>
                <w:szCs w:val="22"/>
              </w:rPr>
              <w:t>order in judicial review proceedings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2FE7A539" w14:textId="2BC9F7E4" w:rsidR="007B0D05" w:rsidRPr="00184FA4" w:rsidRDefault="007B0D05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>Drafting an application for permission to appeal to the Upper Tribunal</w:t>
            </w:r>
            <w:r w:rsidR="009D2CD0" w:rsidRPr="00184FA4">
              <w:rPr>
                <w:rFonts w:ascii="Arial" w:hAnsi="Arial" w:cs="Arial"/>
                <w:bCs/>
                <w:szCs w:val="22"/>
              </w:rPr>
              <w:t xml:space="preserve"> from</w:t>
            </w:r>
            <w:r w:rsidR="000147D2" w:rsidRPr="00184FA4">
              <w:rPr>
                <w:rFonts w:ascii="Arial" w:hAnsi="Arial" w:cs="Arial"/>
                <w:bCs/>
                <w:szCs w:val="22"/>
              </w:rPr>
              <w:t xml:space="preserve"> </w:t>
            </w:r>
            <w:r w:rsidR="00BE3657" w:rsidRPr="00184FA4">
              <w:rPr>
                <w:rFonts w:ascii="Arial" w:hAnsi="Arial" w:cs="Arial"/>
                <w:bCs/>
                <w:szCs w:val="22"/>
              </w:rPr>
              <w:t xml:space="preserve">the </w:t>
            </w:r>
            <w:r w:rsidR="000147D2" w:rsidRPr="00184FA4">
              <w:rPr>
                <w:rFonts w:ascii="Arial" w:hAnsi="Arial" w:cs="Arial"/>
                <w:bCs/>
                <w:szCs w:val="22"/>
              </w:rPr>
              <w:t xml:space="preserve">judgment </w:t>
            </w:r>
            <w:r w:rsidR="00BE3657" w:rsidRPr="00184FA4">
              <w:rPr>
                <w:rFonts w:ascii="Arial" w:hAnsi="Arial" w:cs="Arial"/>
                <w:bCs/>
                <w:szCs w:val="22"/>
              </w:rPr>
              <w:t xml:space="preserve">of </w:t>
            </w:r>
            <w:r w:rsidR="009D2CD0" w:rsidRPr="00184FA4">
              <w:rPr>
                <w:rFonts w:ascii="Arial" w:hAnsi="Arial" w:cs="Arial"/>
                <w:bCs/>
                <w:szCs w:val="22"/>
              </w:rPr>
              <w:t>the Fi</w:t>
            </w:r>
            <w:r w:rsidR="000147D2" w:rsidRPr="00184FA4">
              <w:rPr>
                <w:rFonts w:ascii="Arial" w:hAnsi="Arial" w:cs="Arial"/>
                <w:bCs/>
                <w:szCs w:val="22"/>
              </w:rPr>
              <w:t>rst-tier Tribunal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  <w:r w:rsidR="000147D2" w:rsidRPr="00184FA4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14:paraId="64BA3B65" w14:textId="360831EB" w:rsidR="007B0D05" w:rsidRPr="00184FA4" w:rsidRDefault="007B0D05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>Drafting an application for permission to appeal</w:t>
            </w:r>
            <w:r w:rsidR="0038148C" w:rsidRPr="00184FA4">
              <w:rPr>
                <w:rFonts w:ascii="Arial" w:hAnsi="Arial" w:cs="Arial"/>
                <w:bCs/>
                <w:szCs w:val="22"/>
              </w:rPr>
              <w:t xml:space="preserve"> and </w:t>
            </w:r>
            <w:r w:rsidR="00DA68BE" w:rsidRPr="00184FA4">
              <w:rPr>
                <w:rFonts w:ascii="Arial" w:hAnsi="Arial" w:cs="Arial"/>
                <w:bCs/>
                <w:szCs w:val="22"/>
              </w:rPr>
              <w:t xml:space="preserve">drafting </w:t>
            </w:r>
            <w:r w:rsidR="0038148C" w:rsidRPr="00184FA4">
              <w:rPr>
                <w:rFonts w:ascii="Arial" w:hAnsi="Arial" w:cs="Arial"/>
                <w:bCs/>
                <w:szCs w:val="22"/>
              </w:rPr>
              <w:t xml:space="preserve">grounds of appeal </w:t>
            </w:r>
            <w:r w:rsidRPr="00184FA4">
              <w:rPr>
                <w:rFonts w:ascii="Arial" w:hAnsi="Arial" w:cs="Arial"/>
                <w:bCs/>
                <w:szCs w:val="22"/>
              </w:rPr>
              <w:t>to the Court of Appeal</w:t>
            </w:r>
            <w:r w:rsidR="0038148C" w:rsidRPr="00184FA4">
              <w:rPr>
                <w:rFonts w:ascii="Arial" w:hAnsi="Arial" w:cs="Arial"/>
                <w:bCs/>
                <w:szCs w:val="22"/>
              </w:rPr>
              <w:t xml:space="preserve"> from</w:t>
            </w:r>
            <w:r w:rsidR="000147D2" w:rsidRPr="00184FA4">
              <w:rPr>
                <w:rFonts w:ascii="Arial" w:hAnsi="Arial" w:cs="Arial"/>
                <w:bCs/>
                <w:szCs w:val="22"/>
              </w:rPr>
              <w:t xml:space="preserve"> a judgment of the Upper Tr</w:t>
            </w:r>
            <w:r w:rsidR="0038148C" w:rsidRPr="00184FA4">
              <w:rPr>
                <w:rFonts w:ascii="Arial" w:hAnsi="Arial" w:cs="Arial"/>
                <w:bCs/>
                <w:szCs w:val="22"/>
              </w:rPr>
              <w:t>ibunal in an immigration appeal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  <w:r w:rsidR="0038148C" w:rsidRPr="00184FA4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14:paraId="57857AAA" w14:textId="7F63DE38" w:rsidR="007B0D05" w:rsidRPr="00184FA4" w:rsidRDefault="007B0D05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lastRenderedPageBreak/>
              <w:t xml:space="preserve">Drafting </w:t>
            </w:r>
            <w:r w:rsidR="0038148C" w:rsidRPr="00184FA4">
              <w:rPr>
                <w:rFonts w:ascii="Arial" w:hAnsi="Arial" w:cs="Arial"/>
                <w:bCs/>
                <w:szCs w:val="22"/>
              </w:rPr>
              <w:t xml:space="preserve">a </w:t>
            </w:r>
            <w:r w:rsidRPr="00184FA4">
              <w:rPr>
                <w:rFonts w:ascii="Arial" w:hAnsi="Arial" w:cs="Arial"/>
                <w:bCs/>
                <w:szCs w:val="22"/>
              </w:rPr>
              <w:t>skeleton argument in Court of Appeal proceedings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36BFB7F5" w14:textId="02F9F892" w:rsidR="00CF6F8D" w:rsidRPr="00184FA4" w:rsidRDefault="00CF6F8D" w:rsidP="00CF6F8D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bCs/>
                <w:szCs w:val="22"/>
              </w:rPr>
              <w:t>Legal research for arguments</w:t>
            </w:r>
            <w:r w:rsidR="00184FA4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184FA4">
              <w:rPr>
                <w:rFonts w:ascii="Arial" w:hAnsi="Arial" w:cs="Arial"/>
                <w:bCs/>
                <w:szCs w:val="22"/>
              </w:rPr>
              <w:t>/</w:t>
            </w:r>
            <w:r w:rsidR="00184FA4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184FA4">
              <w:rPr>
                <w:rFonts w:ascii="Arial" w:hAnsi="Arial" w:cs="Arial"/>
                <w:bCs/>
                <w:szCs w:val="22"/>
              </w:rPr>
              <w:t>submissions at substantive hearing</w:t>
            </w:r>
            <w:r w:rsidR="00184FA4">
              <w:rPr>
                <w:rFonts w:ascii="Arial" w:hAnsi="Arial" w:cs="Arial"/>
                <w:bCs/>
                <w:szCs w:val="22"/>
              </w:rPr>
              <w:t>.</w:t>
            </w:r>
          </w:p>
          <w:p w14:paraId="6319DE37" w14:textId="0457B587" w:rsidR="00CF6F8D" w:rsidRPr="00184FA4" w:rsidRDefault="00276ADB" w:rsidP="00184FA4"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 xml:space="preserve">Advising on </w:t>
            </w:r>
            <w:r w:rsidR="001922BD" w:rsidRPr="00184FA4">
              <w:rPr>
                <w:rFonts w:ascii="Arial" w:hAnsi="Arial" w:cs="Arial"/>
                <w:szCs w:val="22"/>
              </w:rPr>
              <w:t xml:space="preserve">whether an application may be made to the </w:t>
            </w:r>
            <w:r w:rsidR="00BA7FCD" w:rsidRPr="00184FA4">
              <w:rPr>
                <w:rFonts w:ascii="Arial" w:hAnsi="Arial" w:cs="Arial"/>
                <w:szCs w:val="22"/>
              </w:rPr>
              <w:t xml:space="preserve">European Court of Human Rights </w:t>
            </w:r>
            <w:r w:rsidR="00184FA4">
              <w:rPr>
                <w:rFonts w:ascii="Arial" w:hAnsi="Arial" w:cs="Arial"/>
                <w:szCs w:val="22"/>
              </w:rPr>
              <w:t>“</w:t>
            </w:r>
            <w:r w:rsidR="003B4943" w:rsidRPr="00184FA4">
              <w:rPr>
                <w:rFonts w:ascii="Arial" w:hAnsi="Arial" w:cs="Arial"/>
                <w:szCs w:val="22"/>
              </w:rPr>
              <w:t>or discussion with the pupil supervisor of how and when such an application may be made</w:t>
            </w:r>
            <w:r w:rsidR="00F65333" w:rsidRPr="00184FA4">
              <w:rPr>
                <w:rFonts w:ascii="Arial" w:hAnsi="Arial" w:cs="Arial"/>
                <w:szCs w:val="22"/>
              </w:rPr>
              <w:t xml:space="preserve"> </w:t>
            </w:r>
            <w:r w:rsidR="001922BD" w:rsidRPr="00184FA4">
              <w:rPr>
                <w:rFonts w:ascii="Arial" w:hAnsi="Arial" w:cs="Arial"/>
                <w:szCs w:val="22"/>
              </w:rPr>
              <w:t xml:space="preserve">Advising on whether an application may be made for </w:t>
            </w:r>
            <w:r w:rsidR="00BA7FCD" w:rsidRPr="00184FA4">
              <w:rPr>
                <w:rFonts w:ascii="Arial" w:hAnsi="Arial" w:cs="Arial"/>
                <w:szCs w:val="22"/>
              </w:rPr>
              <w:t>a rule 39 indication from the European Court of Human Rights</w:t>
            </w:r>
            <w:r w:rsidR="00184FA4">
              <w:rPr>
                <w:rFonts w:ascii="Arial" w:hAnsi="Arial" w:cs="Arial"/>
                <w:szCs w:val="22"/>
              </w:rPr>
              <w:t xml:space="preserve">” </w:t>
            </w:r>
            <w:r w:rsidR="003B4943" w:rsidRPr="00184FA4">
              <w:rPr>
                <w:rFonts w:ascii="Arial" w:hAnsi="Arial" w:cs="Arial"/>
                <w:szCs w:val="22"/>
              </w:rPr>
              <w:t>or discussion with the pupil supervisor of how and when such an application may be made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830" w:type="dxa"/>
          </w:tcPr>
          <w:p w14:paraId="726EC16A" w14:textId="77777777" w:rsidR="00CF6F8D" w:rsidRPr="00184FA4" w:rsidRDefault="00CF6F8D">
            <w:pPr>
              <w:tabs>
                <w:tab w:val="left" w:pos="318"/>
                <w:tab w:val="left" w:pos="4818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90" w:type="dxa"/>
          </w:tcPr>
          <w:p w14:paraId="1DFEECC1" w14:textId="77777777" w:rsidR="00CF6F8D" w:rsidRPr="00184FA4" w:rsidRDefault="00CF6F8D">
            <w:pPr>
              <w:tabs>
                <w:tab w:val="left" w:pos="318"/>
                <w:tab w:val="left" w:pos="481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CF6F8D" w:rsidRPr="00184FA4" w14:paraId="11C91456" w14:textId="77777777">
        <w:trPr>
          <w:trHeight w:val="360"/>
        </w:trPr>
        <w:tc>
          <w:tcPr>
            <w:tcW w:w="10024" w:type="dxa"/>
            <w:gridSpan w:val="3"/>
          </w:tcPr>
          <w:p w14:paraId="010DCA2E" w14:textId="77777777" w:rsidR="00CF6F8D" w:rsidRPr="00184FA4" w:rsidRDefault="00CF6F8D">
            <w:pPr>
              <w:pStyle w:val="Heading2"/>
              <w:tabs>
                <w:tab w:val="left" w:pos="318"/>
                <w:tab w:val="left" w:pos="4818"/>
              </w:tabs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lastRenderedPageBreak/>
              <w:t xml:space="preserve">PART TWO: APPEARANCES AT HEARINGS </w:t>
            </w:r>
          </w:p>
          <w:p w14:paraId="0911FAA4" w14:textId="77777777" w:rsidR="00CF6F8D" w:rsidRPr="00184FA4" w:rsidRDefault="00CF6F8D">
            <w:pPr>
              <w:rPr>
                <w:rFonts w:ascii="Arial" w:hAnsi="Arial" w:cs="Arial"/>
                <w:szCs w:val="22"/>
              </w:rPr>
            </w:pPr>
          </w:p>
        </w:tc>
      </w:tr>
      <w:tr w:rsidR="00CF6F8D" w:rsidRPr="00184FA4" w14:paraId="2D03A3F3" w14:textId="77777777" w:rsidTr="00184FA4">
        <w:trPr>
          <w:trHeight w:val="360"/>
        </w:trPr>
        <w:tc>
          <w:tcPr>
            <w:tcW w:w="3504" w:type="dxa"/>
          </w:tcPr>
          <w:p w14:paraId="6A1DF368" w14:textId="33DB9C6A" w:rsidR="00CF6F8D" w:rsidRPr="00184FA4" w:rsidRDefault="00CF6F8D" w:rsidP="00CF6F8D">
            <w:pPr>
              <w:numPr>
                <w:ilvl w:val="0"/>
                <w:numId w:val="3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>Pre-hearing review</w:t>
            </w:r>
            <w:r w:rsidR="00821884" w:rsidRPr="00184FA4">
              <w:rPr>
                <w:rFonts w:ascii="Arial" w:hAnsi="Arial" w:cs="Arial"/>
                <w:szCs w:val="22"/>
              </w:rPr>
              <w:t xml:space="preserve"> or Case management Review Hearing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  <w:p w14:paraId="1A0FBBE8" w14:textId="0B0C53F8" w:rsidR="00CF6F8D" w:rsidRPr="00184FA4" w:rsidRDefault="00CF6F8D" w:rsidP="00CF6F8D">
            <w:pPr>
              <w:numPr>
                <w:ilvl w:val="0"/>
                <w:numId w:val="3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 xml:space="preserve">“For mention” </w:t>
            </w:r>
            <w:r w:rsidR="007B0D05" w:rsidRPr="00184FA4">
              <w:rPr>
                <w:rFonts w:ascii="Arial" w:hAnsi="Arial" w:cs="Arial"/>
                <w:szCs w:val="22"/>
              </w:rPr>
              <w:t xml:space="preserve">or directions </w:t>
            </w:r>
            <w:r w:rsidRPr="00184FA4">
              <w:rPr>
                <w:rFonts w:ascii="Arial" w:hAnsi="Arial" w:cs="Arial"/>
                <w:szCs w:val="22"/>
              </w:rPr>
              <w:t>hearing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  <w:p w14:paraId="68A86A47" w14:textId="72FE132D" w:rsidR="00CF6F8D" w:rsidRPr="00184FA4" w:rsidRDefault="00CF6F8D" w:rsidP="00CF6F8D">
            <w:pPr>
              <w:numPr>
                <w:ilvl w:val="0"/>
                <w:numId w:val="3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>Applications for adjournment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  <w:p w14:paraId="20020C13" w14:textId="4C86964B" w:rsidR="00CF6F8D" w:rsidRPr="00184FA4" w:rsidRDefault="00CF6F8D" w:rsidP="00CF6F8D">
            <w:pPr>
              <w:numPr>
                <w:ilvl w:val="0"/>
                <w:numId w:val="3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 xml:space="preserve">Hearing of preliminary issue </w:t>
            </w:r>
            <w:r w:rsidR="00184FA4">
              <w:rPr>
                <w:rFonts w:ascii="Arial" w:hAnsi="Arial" w:cs="Arial"/>
                <w:szCs w:val="22"/>
              </w:rPr>
              <w:t xml:space="preserve">– </w:t>
            </w:r>
            <w:r w:rsidRPr="00184FA4">
              <w:rPr>
                <w:rFonts w:ascii="Arial" w:hAnsi="Arial" w:cs="Arial"/>
                <w:szCs w:val="22"/>
              </w:rPr>
              <w:t>eg</w:t>
            </w:r>
            <w:r w:rsidR="00184FA4">
              <w:rPr>
                <w:rFonts w:ascii="Arial" w:hAnsi="Arial" w:cs="Arial"/>
                <w:szCs w:val="22"/>
              </w:rPr>
              <w:t>,</w:t>
            </w:r>
            <w:r w:rsidRPr="00184FA4">
              <w:rPr>
                <w:rFonts w:ascii="Arial" w:hAnsi="Arial" w:cs="Arial"/>
                <w:szCs w:val="22"/>
              </w:rPr>
              <w:t xml:space="preserve"> as to jurisdiction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  <w:p w14:paraId="0995E60F" w14:textId="62409EF9" w:rsidR="00CF6F8D" w:rsidRPr="00184FA4" w:rsidRDefault="00CF6F8D" w:rsidP="00CF6F8D">
            <w:pPr>
              <w:numPr>
                <w:ilvl w:val="0"/>
                <w:numId w:val="3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>Bail hearing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  <w:p w14:paraId="56A786EB" w14:textId="641FAD97" w:rsidR="00CF6F8D" w:rsidRPr="00184FA4" w:rsidRDefault="00CF6F8D" w:rsidP="00CF6F8D">
            <w:pPr>
              <w:numPr>
                <w:ilvl w:val="0"/>
                <w:numId w:val="3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 xml:space="preserve">Substantive hearing before </w:t>
            </w:r>
            <w:r w:rsidR="00711B60" w:rsidRPr="00184FA4">
              <w:rPr>
                <w:rFonts w:ascii="Arial" w:hAnsi="Arial" w:cs="Arial"/>
                <w:szCs w:val="22"/>
              </w:rPr>
              <w:t xml:space="preserve">First </w:t>
            </w:r>
            <w:r w:rsidR="00BA7FCD" w:rsidRPr="00184FA4">
              <w:rPr>
                <w:rFonts w:ascii="Arial" w:hAnsi="Arial" w:cs="Arial"/>
                <w:szCs w:val="22"/>
              </w:rPr>
              <w:t>-t</w:t>
            </w:r>
            <w:r w:rsidR="00711B60" w:rsidRPr="00184FA4">
              <w:rPr>
                <w:rFonts w:ascii="Arial" w:hAnsi="Arial" w:cs="Arial"/>
                <w:szCs w:val="22"/>
              </w:rPr>
              <w:t>ier Tribunal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  <w:p w14:paraId="73EFCB6C" w14:textId="2E5372B7" w:rsidR="00CF6F8D" w:rsidRPr="00184FA4" w:rsidRDefault="00CF6F8D" w:rsidP="00CF6F8D">
            <w:pPr>
              <w:numPr>
                <w:ilvl w:val="0"/>
                <w:numId w:val="3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>Substantive hearing</w:t>
            </w:r>
            <w:r w:rsidR="007B0D05" w:rsidRPr="00184FA4">
              <w:rPr>
                <w:rFonts w:ascii="Arial" w:hAnsi="Arial" w:cs="Arial"/>
                <w:szCs w:val="22"/>
              </w:rPr>
              <w:t xml:space="preserve"> of an appeal</w:t>
            </w:r>
            <w:r w:rsidRPr="00184FA4">
              <w:rPr>
                <w:rFonts w:ascii="Arial" w:hAnsi="Arial" w:cs="Arial"/>
                <w:szCs w:val="22"/>
              </w:rPr>
              <w:t xml:space="preserve"> before </w:t>
            </w:r>
            <w:r w:rsidR="00711B60" w:rsidRPr="00184FA4">
              <w:rPr>
                <w:rFonts w:ascii="Arial" w:hAnsi="Arial" w:cs="Arial"/>
                <w:szCs w:val="22"/>
              </w:rPr>
              <w:t>Upper Tribunal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  <w:p w14:paraId="515BD735" w14:textId="5264AFCB" w:rsidR="007B0D05" w:rsidRPr="00184FA4" w:rsidRDefault="004835CB" w:rsidP="00CF6F8D">
            <w:pPr>
              <w:numPr>
                <w:ilvl w:val="0"/>
                <w:numId w:val="3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>Oral a</w:t>
            </w:r>
            <w:r w:rsidR="007B0D05" w:rsidRPr="00184FA4">
              <w:rPr>
                <w:rFonts w:ascii="Arial" w:hAnsi="Arial" w:cs="Arial"/>
                <w:szCs w:val="22"/>
              </w:rPr>
              <w:t>pplication for permission to apply for judicial review in the Administrative Court</w:t>
            </w:r>
            <w:r w:rsidR="00821884" w:rsidRPr="00184FA4">
              <w:rPr>
                <w:rFonts w:ascii="Arial" w:hAnsi="Arial" w:cs="Arial"/>
                <w:szCs w:val="22"/>
              </w:rPr>
              <w:t xml:space="preserve"> or Upper Tribunal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  <w:p w14:paraId="4B5BF886" w14:textId="7BB8EC5D" w:rsidR="007B0D05" w:rsidRPr="00184FA4" w:rsidRDefault="007B0D05" w:rsidP="00CF6F8D">
            <w:pPr>
              <w:numPr>
                <w:ilvl w:val="0"/>
                <w:numId w:val="3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>Substantive judicial review hearing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  <w:p w14:paraId="225A1894" w14:textId="30648BEF" w:rsidR="007B0D05" w:rsidRPr="00184FA4" w:rsidRDefault="007B0D05" w:rsidP="00CF6F8D">
            <w:pPr>
              <w:numPr>
                <w:ilvl w:val="0"/>
                <w:numId w:val="3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>Emergency application in judicial review proceedings, including telephone application for</w:t>
            </w:r>
            <w:r w:rsidR="003B026A" w:rsidRPr="00184FA4">
              <w:rPr>
                <w:rFonts w:ascii="Arial" w:hAnsi="Arial" w:cs="Arial"/>
                <w:szCs w:val="22"/>
              </w:rPr>
              <w:t xml:space="preserve"> an </w:t>
            </w:r>
            <w:r w:rsidRPr="00184FA4">
              <w:rPr>
                <w:rFonts w:ascii="Arial" w:hAnsi="Arial" w:cs="Arial"/>
                <w:szCs w:val="22"/>
              </w:rPr>
              <w:t>interim stay on removal directions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  <w:p w14:paraId="756DAED1" w14:textId="7BA7AFE1" w:rsidR="00CF6F8D" w:rsidRPr="00184FA4" w:rsidRDefault="00CF6F8D" w:rsidP="002223EB">
            <w:pPr>
              <w:tabs>
                <w:tab w:val="left" w:pos="-1440"/>
              </w:tabs>
              <w:spacing w:after="58"/>
              <w:ind w:left="357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30" w:type="dxa"/>
            <w:vAlign w:val="center"/>
          </w:tcPr>
          <w:p w14:paraId="0BD88BF4" w14:textId="77777777" w:rsidR="00CF6F8D" w:rsidRPr="00184FA4" w:rsidRDefault="007B0D05">
            <w:pPr>
              <w:tabs>
                <w:tab w:val="left" w:pos="318"/>
                <w:tab w:val="left" w:pos="4818"/>
              </w:tabs>
              <w:jc w:val="center"/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lastRenderedPageBreak/>
              <w:t xml:space="preserve"> </w:t>
            </w:r>
          </w:p>
        </w:tc>
        <w:tc>
          <w:tcPr>
            <w:tcW w:w="1690" w:type="dxa"/>
            <w:vAlign w:val="center"/>
          </w:tcPr>
          <w:p w14:paraId="0D7DC538" w14:textId="77777777" w:rsidR="00CF6F8D" w:rsidRPr="00184FA4" w:rsidRDefault="00CF6F8D">
            <w:pPr>
              <w:tabs>
                <w:tab w:val="left" w:pos="318"/>
                <w:tab w:val="left" w:pos="4818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F6F8D" w:rsidRPr="00184FA4" w14:paraId="39D93A86" w14:textId="77777777">
        <w:trPr>
          <w:cantSplit/>
          <w:trHeight w:val="360"/>
        </w:trPr>
        <w:tc>
          <w:tcPr>
            <w:tcW w:w="10024" w:type="dxa"/>
            <w:gridSpan w:val="3"/>
          </w:tcPr>
          <w:p w14:paraId="7FB57A5D" w14:textId="77777777" w:rsidR="00CF6F8D" w:rsidRPr="00184FA4" w:rsidRDefault="00CF6F8D">
            <w:pPr>
              <w:pStyle w:val="Heading2"/>
              <w:tabs>
                <w:tab w:val="left" w:pos="318"/>
                <w:tab w:val="left" w:pos="4818"/>
              </w:tabs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lastRenderedPageBreak/>
              <w:t>PART THREE: AFTERMATH OF APPEAL</w:t>
            </w:r>
          </w:p>
          <w:p w14:paraId="702440DC" w14:textId="77777777" w:rsidR="00CF6F8D" w:rsidRPr="00184FA4" w:rsidRDefault="00CF6F8D">
            <w:pPr>
              <w:rPr>
                <w:rFonts w:ascii="Arial" w:hAnsi="Arial" w:cs="Arial"/>
                <w:szCs w:val="22"/>
              </w:rPr>
            </w:pPr>
          </w:p>
        </w:tc>
      </w:tr>
      <w:tr w:rsidR="00CF6F8D" w:rsidRPr="00184FA4" w14:paraId="04489CA3" w14:textId="77777777" w:rsidTr="00184FA4">
        <w:trPr>
          <w:trHeight w:val="360"/>
        </w:trPr>
        <w:tc>
          <w:tcPr>
            <w:tcW w:w="3504" w:type="dxa"/>
          </w:tcPr>
          <w:p w14:paraId="5DA6F13B" w14:textId="5A678B4F" w:rsidR="00CF6F8D" w:rsidRPr="00184FA4" w:rsidRDefault="00CF6F8D" w:rsidP="00CF6F8D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>Advising client on further steps</w:t>
            </w:r>
            <w:r w:rsidR="00121AF8" w:rsidRPr="00184FA4">
              <w:rPr>
                <w:rFonts w:ascii="Arial" w:hAnsi="Arial" w:cs="Arial"/>
                <w:szCs w:val="22"/>
              </w:rPr>
              <w:t xml:space="preserve"> and merits of appealing</w:t>
            </w:r>
            <w:r w:rsidR="00EF360D" w:rsidRPr="00184FA4">
              <w:rPr>
                <w:rFonts w:ascii="Arial" w:hAnsi="Arial" w:cs="Arial"/>
                <w:szCs w:val="22"/>
              </w:rPr>
              <w:t xml:space="preserve"> against </w:t>
            </w:r>
            <w:r w:rsidR="00121AF8" w:rsidRPr="00184FA4">
              <w:rPr>
                <w:rFonts w:ascii="Arial" w:hAnsi="Arial" w:cs="Arial"/>
                <w:szCs w:val="22"/>
              </w:rPr>
              <w:t xml:space="preserve">an adverse judgment </w:t>
            </w:r>
            <w:r w:rsidR="00EF360D" w:rsidRPr="00184FA4">
              <w:rPr>
                <w:rFonts w:ascii="Arial" w:hAnsi="Arial" w:cs="Arial"/>
                <w:szCs w:val="22"/>
              </w:rPr>
              <w:t xml:space="preserve">of the First-tier Tribunal and </w:t>
            </w:r>
            <w:r w:rsidR="004835CB" w:rsidRPr="00184FA4">
              <w:rPr>
                <w:rFonts w:ascii="Arial" w:hAnsi="Arial" w:cs="Arial"/>
                <w:szCs w:val="22"/>
              </w:rPr>
              <w:t xml:space="preserve">an adverse judgment of </w:t>
            </w:r>
            <w:r w:rsidR="00EF360D" w:rsidRPr="00184FA4">
              <w:rPr>
                <w:rFonts w:ascii="Arial" w:hAnsi="Arial" w:cs="Arial"/>
                <w:szCs w:val="22"/>
              </w:rPr>
              <w:t>the Upper Tribunal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  <w:p w14:paraId="4574C49B" w14:textId="24B426C0" w:rsidR="00CF6F8D" w:rsidRPr="00184FA4" w:rsidRDefault="00184FA4" w:rsidP="00CF6F8D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Advising on / drafting “</w:t>
            </w:r>
            <w:r w:rsidR="007B0D05" w:rsidRPr="00184FA4">
              <w:rPr>
                <w:rFonts w:ascii="Arial" w:hAnsi="Arial" w:cs="Arial"/>
                <w:szCs w:val="22"/>
              </w:rPr>
              <w:t>Cart</w:t>
            </w:r>
            <w:r>
              <w:rPr>
                <w:rFonts w:ascii="Arial" w:hAnsi="Arial" w:cs="Arial"/>
                <w:szCs w:val="22"/>
              </w:rPr>
              <w:t>”</w:t>
            </w:r>
            <w:r w:rsidR="007B0D05" w:rsidRPr="00184FA4">
              <w:rPr>
                <w:rFonts w:ascii="Arial" w:hAnsi="Arial" w:cs="Arial"/>
                <w:szCs w:val="22"/>
              </w:rPr>
              <w:t xml:space="preserve"> judicial review proceedings in respect of </w:t>
            </w:r>
            <w:r w:rsidR="004835CB" w:rsidRPr="00184FA4">
              <w:rPr>
                <w:rFonts w:ascii="Arial" w:hAnsi="Arial" w:cs="Arial"/>
                <w:szCs w:val="22"/>
              </w:rPr>
              <w:t xml:space="preserve">a </w:t>
            </w:r>
            <w:r w:rsidR="007B0D05" w:rsidRPr="00184FA4">
              <w:rPr>
                <w:rFonts w:ascii="Arial" w:hAnsi="Arial" w:cs="Arial"/>
                <w:szCs w:val="22"/>
              </w:rPr>
              <w:t>decision</w:t>
            </w:r>
            <w:r w:rsidR="008D7AC4" w:rsidRPr="00184FA4">
              <w:rPr>
                <w:rFonts w:ascii="Arial" w:hAnsi="Arial" w:cs="Arial"/>
                <w:szCs w:val="22"/>
              </w:rPr>
              <w:t xml:space="preserve"> </w:t>
            </w:r>
            <w:r w:rsidR="007B0D05" w:rsidRPr="00184FA4">
              <w:rPr>
                <w:rFonts w:ascii="Arial" w:hAnsi="Arial" w:cs="Arial"/>
                <w:szCs w:val="22"/>
              </w:rPr>
              <w:t>refusing permission to appeal to the U</w:t>
            </w:r>
            <w:r w:rsidR="00BA7FCD" w:rsidRPr="00184FA4">
              <w:rPr>
                <w:rFonts w:ascii="Arial" w:hAnsi="Arial" w:cs="Arial"/>
                <w:szCs w:val="22"/>
              </w:rPr>
              <w:t>pper Tribunal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67F9B77D" w14:textId="2E3F516B" w:rsidR="00AB0167" w:rsidRPr="00184FA4" w:rsidRDefault="00AB0167" w:rsidP="00CF6F8D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>Advising client on merits of appealing to the Court of Appeal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  <w:p w14:paraId="2341CB39" w14:textId="4E233C27" w:rsidR="00CF6F8D" w:rsidRPr="00184FA4" w:rsidRDefault="00B44A5C" w:rsidP="00C07920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>Drafting r</w:t>
            </w:r>
            <w:r w:rsidR="00CF6F8D" w:rsidRPr="00184FA4">
              <w:rPr>
                <w:rFonts w:ascii="Arial" w:hAnsi="Arial" w:cs="Arial"/>
                <w:szCs w:val="22"/>
              </w:rPr>
              <w:t>epresentations to Home Office to allow client to stay on an exceptional basis, outside the Rules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  <w:p w14:paraId="38C78C8B" w14:textId="77777777" w:rsidR="00CF6F8D" w:rsidRPr="00184FA4" w:rsidRDefault="00CF6F8D" w:rsidP="00CF6F8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Cs w:val="22"/>
              </w:rPr>
            </w:pPr>
            <w:r w:rsidRPr="00184FA4">
              <w:rPr>
                <w:rFonts w:ascii="Arial" w:hAnsi="Arial" w:cs="Arial"/>
                <w:szCs w:val="22"/>
              </w:rPr>
              <w:t>Seeking support of client’s MP with a view to exercise of discretion outside the Rules</w:t>
            </w:r>
            <w:r w:rsidR="00184FA4">
              <w:rPr>
                <w:rFonts w:ascii="Arial" w:hAnsi="Arial" w:cs="Arial"/>
                <w:szCs w:val="22"/>
              </w:rPr>
              <w:t>.</w:t>
            </w:r>
          </w:p>
          <w:p w14:paraId="2E1E05BA" w14:textId="77777777" w:rsidR="00184FA4" w:rsidRPr="00184FA4" w:rsidRDefault="00184FA4" w:rsidP="00184FA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30" w:type="dxa"/>
            <w:vAlign w:val="center"/>
          </w:tcPr>
          <w:p w14:paraId="50CE7701" w14:textId="77777777" w:rsidR="00CF6F8D" w:rsidRPr="00184FA4" w:rsidRDefault="00CF6F8D">
            <w:pPr>
              <w:tabs>
                <w:tab w:val="left" w:pos="318"/>
                <w:tab w:val="left" w:pos="4818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1BB83150" w14:textId="77777777" w:rsidR="00CF6F8D" w:rsidRPr="00184FA4" w:rsidRDefault="00CF6F8D">
            <w:pPr>
              <w:tabs>
                <w:tab w:val="left" w:pos="318"/>
                <w:tab w:val="left" w:pos="4818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056E75B" w14:textId="77777777" w:rsidR="00CF6F8D" w:rsidRPr="00184FA4" w:rsidRDefault="00CF6F8D">
      <w:pPr>
        <w:rPr>
          <w:rFonts w:ascii="Arial" w:hAnsi="Arial" w:cs="Arial"/>
        </w:rPr>
      </w:pPr>
    </w:p>
    <w:sectPr w:rsidR="00CF6F8D" w:rsidRPr="00184FA4">
      <w:pgSz w:w="11909" w:h="16834" w:code="9"/>
      <w:pgMar w:top="1440" w:right="1797" w:bottom="1440" w:left="1797" w:header="1440" w:footer="144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F5819" w14:textId="77777777" w:rsidR="00E0637F" w:rsidRDefault="00E0637F">
      <w:pPr>
        <w:spacing w:before="0"/>
      </w:pPr>
      <w:r>
        <w:separator/>
      </w:r>
    </w:p>
  </w:endnote>
  <w:endnote w:type="continuationSeparator" w:id="0">
    <w:p w14:paraId="04038189" w14:textId="77777777" w:rsidR="00E0637F" w:rsidRDefault="00E063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AC47D" w14:textId="77777777" w:rsidR="00E0637F" w:rsidRDefault="00E0637F">
      <w:pPr>
        <w:spacing w:before="0"/>
      </w:pPr>
      <w:r>
        <w:separator/>
      </w:r>
    </w:p>
  </w:footnote>
  <w:footnote w:type="continuationSeparator" w:id="0">
    <w:p w14:paraId="12A7E639" w14:textId="77777777" w:rsidR="00E0637F" w:rsidRDefault="00E0637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0E30"/>
    <w:multiLevelType w:val="hybridMultilevel"/>
    <w:tmpl w:val="89FA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672A"/>
    <w:multiLevelType w:val="multilevel"/>
    <w:tmpl w:val="AF444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AFB356F"/>
    <w:multiLevelType w:val="multilevel"/>
    <w:tmpl w:val="9A0436A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3841439"/>
    <w:multiLevelType w:val="multilevel"/>
    <w:tmpl w:val="A2A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25"/>
        </w:tabs>
        <w:ind w:left="1225" w:hanging="505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07"/>
    <w:rsid w:val="000147D2"/>
    <w:rsid w:val="0010206E"/>
    <w:rsid w:val="00121AF8"/>
    <w:rsid w:val="00162DC2"/>
    <w:rsid w:val="00184FA4"/>
    <w:rsid w:val="001922BD"/>
    <w:rsid w:val="002223EB"/>
    <w:rsid w:val="00276ADB"/>
    <w:rsid w:val="002C0145"/>
    <w:rsid w:val="00302F17"/>
    <w:rsid w:val="0038148C"/>
    <w:rsid w:val="00382FEC"/>
    <w:rsid w:val="003B026A"/>
    <w:rsid w:val="003B4943"/>
    <w:rsid w:val="00402250"/>
    <w:rsid w:val="004361A5"/>
    <w:rsid w:val="004417E1"/>
    <w:rsid w:val="004833CB"/>
    <w:rsid w:val="004835CB"/>
    <w:rsid w:val="00485A11"/>
    <w:rsid w:val="004F0D65"/>
    <w:rsid w:val="00514189"/>
    <w:rsid w:val="0057748F"/>
    <w:rsid w:val="00580489"/>
    <w:rsid w:val="005B11F4"/>
    <w:rsid w:val="005B3A80"/>
    <w:rsid w:val="00620907"/>
    <w:rsid w:val="00676685"/>
    <w:rsid w:val="006B2EB7"/>
    <w:rsid w:val="00711B60"/>
    <w:rsid w:val="007158EB"/>
    <w:rsid w:val="007320EC"/>
    <w:rsid w:val="007B0D05"/>
    <w:rsid w:val="00821884"/>
    <w:rsid w:val="00843346"/>
    <w:rsid w:val="008D7AC4"/>
    <w:rsid w:val="008E7567"/>
    <w:rsid w:val="00967D0B"/>
    <w:rsid w:val="009725B6"/>
    <w:rsid w:val="00977B56"/>
    <w:rsid w:val="0098725F"/>
    <w:rsid w:val="009B24D5"/>
    <w:rsid w:val="009D2CD0"/>
    <w:rsid w:val="00AB0167"/>
    <w:rsid w:val="00B17910"/>
    <w:rsid w:val="00B44A5C"/>
    <w:rsid w:val="00BA1106"/>
    <w:rsid w:val="00BA7FCD"/>
    <w:rsid w:val="00BE3657"/>
    <w:rsid w:val="00C07920"/>
    <w:rsid w:val="00C34AE3"/>
    <w:rsid w:val="00C64D57"/>
    <w:rsid w:val="00CB4779"/>
    <w:rsid w:val="00CF66B9"/>
    <w:rsid w:val="00CF6F8D"/>
    <w:rsid w:val="00D0198C"/>
    <w:rsid w:val="00D67153"/>
    <w:rsid w:val="00DA68BE"/>
    <w:rsid w:val="00DF6DED"/>
    <w:rsid w:val="00E0637F"/>
    <w:rsid w:val="00E87A01"/>
    <w:rsid w:val="00E9014C"/>
    <w:rsid w:val="00E91901"/>
    <w:rsid w:val="00EB0A38"/>
    <w:rsid w:val="00EB27E2"/>
    <w:rsid w:val="00EF360D"/>
    <w:rsid w:val="00EF45D2"/>
    <w:rsid w:val="00F65333"/>
    <w:rsid w:val="00F75BF3"/>
    <w:rsid w:val="00F814C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43FD4"/>
  <w15:docId w15:val="{16423135-8343-4255-893C-AF22D8F1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58"/>
    </w:pPr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-567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62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-45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318"/>
      </w:tabs>
      <w:ind w:left="318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">
    <w:name w:val="_"/>
    <w:basedOn w:val="Normal"/>
    <w:pPr>
      <w:widowControl w:val="0"/>
      <w:ind w:left="720" w:hanging="720"/>
    </w:pPr>
    <w:rPr>
      <w:snapToGrid w:val="0"/>
      <w:lang w:val="en-US"/>
    </w:rPr>
  </w:style>
  <w:style w:type="paragraph" w:styleId="BodyText2">
    <w:name w:val="Body Text 2"/>
    <w:basedOn w:val="Normal"/>
    <w:semiHidden/>
    <w:pPr>
      <w:widowControl w:val="0"/>
      <w:tabs>
        <w:tab w:val="left" w:pos="-1440"/>
      </w:tabs>
      <w:jc w:val="both"/>
    </w:pPr>
    <w:rPr>
      <w:snapToGrid w:val="0"/>
    </w:rPr>
  </w:style>
  <w:style w:type="paragraph" w:styleId="BodyText">
    <w:name w:val="Body Text"/>
    <w:basedOn w:val="Normal"/>
    <w:semiHidden/>
    <w:pPr>
      <w:widowControl w:val="0"/>
      <w:jc w:val="both"/>
    </w:pPr>
    <w:rPr>
      <w:b/>
      <w:snapToGrid w:val="0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after="58"/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-1440"/>
      </w:tabs>
      <w:spacing w:after="58"/>
      <w:ind w:left="720" w:hanging="720"/>
      <w:jc w:val="both"/>
    </w:pPr>
    <w:rPr>
      <w:smallCap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tabs>
        <w:tab w:val="left" w:pos="-1440"/>
        <w:tab w:val="left" w:pos="408"/>
      </w:tabs>
      <w:spacing w:after="58"/>
      <w:ind w:left="408" w:hanging="408"/>
    </w:pPr>
    <w:rPr>
      <w:b/>
    </w:rPr>
  </w:style>
  <w:style w:type="paragraph" w:styleId="BlockText">
    <w:name w:val="Block Text"/>
    <w:basedOn w:val="Normal"/>
    <w:semiHidden/>
    <w:pPr>
      <w:ind w:left="-851" w:right="-619"/>
    </w:pPr>
    <w:rPr>
      <w:b/>
    </w:rPr>
  </w:style>
  <w:style w:type="paragraph" w:styleId="Caption">
    <w:name w:val="caption"/>
    <w:basedOn w:val="Normal"/>
    <w:next w:val="Normal"/>
    <w:qFormat/>
    <w:pPr>
      <w:ind w:left="-450"/>
      <w:jc w:val="center"/>
    </w:pPr>
    <w:rPr>
      <w:b/>
      <w:sz w:val="28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1B6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A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F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A7FCD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F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7FCD"/>
    <w:rPr>
      <w:rFonts w:ascii="Arial Narrow" w:hAnsi="Arial Narrow"/>
      <w:b/>
      <w:bCs/>
      <w:lang w:eastAsia="en-US"/>
    </w:rPr>
  </w:style>
  <w:style w:type="paragraph" w:styleId="ListParagraph">
    <w:name w:val="List Paragraph"/>
    <w:basedOn w:val="Normal"/>
    <w:uiPriority w:val="72"/>
    <w:rsid w:val="0073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ED61B.6C54C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 Council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Jutsum</dc:creator>
  <cp:lastModifiedBy>Eugene Grant</cp:lastModifiedBy>
  <cp:revision>3</cp:revision>
  <cp:lastPrinted>2014-04-01T10:56:00Z</cp:lastPrinted>
  <dcterms:created xsi:type="dcterms:W3CDTF">2014-10-08T15:55:00Z</dcterms:created>
  <dcterms:modified xsi:type="dcterms:W3CDTF">2014-10-08T16:00:00Z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A357389</vt:lpwstr>
  </property>
  <property fmtid="{D5CDD505-2E9C-101B-9397-08002B2CF9AE}" pid="4" name="Objective-Title">
    <vt:lpwstr>Immigration Checklist - Oct 2014</vt:lpwstr>
  </property>
  <property fmtid="{D5CDD505-2E9C-101B-9397-08002B2CF9AE}" pid="5" name="Objective-Comment">
    <vt:lpwstr/>
  </property>
  <property fmtid="{D5CDD505-2E9C-101B-9397-08002B2CF9AE}" pid="6" name="Objective-CreationStamp">
    <vt:filetime>2014-10-08T15:55:18Z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2014-10-08T16:00:29Z</vt:filetime>
  </property>
  <property fmtid="{D5CDD505-2E9C-101B-9397-08002B2CF9AE}" pid="10" name="Objective-ModificationStamp">
    <vt:filetime>2014-10-08T16:00:30Z</vt:filetime>
  </property>
  <property fmtid="{D5CDD505-2E9C-101B-9397-08002B2CF9AE}" pid="11" name="Objective-Owner">
    <vt:lpwstr>Eugene Grant</vt:lpwstr>
  </property>
  <property fmtid="{D5CDD505-2E9C-101B-9397-08002B2CF9AE}" pid="12" name="Objective-Path">
    <vt:lpwstr>Bar Council Global Folder:Regulation (BSB):Strategy and Communications:Communications:Website:Communications Website - Web projects:Uploads / day2day:</vt:lpwstr>
  </property>
  <property fmtid="{D5CDD505-2E9C-101B-9397-08002B2CF9AE}" pid="13" name="Objective-Parent">
    <vt:lpwstr>Uploads / day2day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