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2A" w:rsidRPr="00762505" w:rsidRDefault="00D12A2A" w:rsidP="00D12A2A">
      <w:pPr>
        <w:rPr>
          <w:rFonts w:ascii="Arial" w:hAnsi="Arial" w:cs="Arial"/>
          <w:b/>
          <w:u w:val="single"/>
        </w:rPr>
      </w:pPr>
      <w:bookmarkStart w:id="0" w:name="_GoBack"/>
      <w:bookmarkEnd w:id="0"/>
    </w:p>
    <w:p w:rsidR="00F82718" w:rsidRDefault="00F82718" w:rsidP="001908A1">
      <w:pPr>
        <w:spacing w:after="0" w:line="240" w:lineRule="auto"/>
        <w:jc w:val="center"/>
        <w:rPr>
          <w:rFonts w:ascii="Palatino Linotype" w:eastAsia="Times New Roman" w:hAnsi="Palatino Linotype" w:cs="Times New Roman"/>
          <w:b/>
          <w:sz w:val="28"/>
          <w:szCs w:val="20"/>
        </w:rPr>
      </w:pPr>
      <w:r w:rsidRPr="00F82718">
        <w:rPr>
          <w:rFonts w:ascii="Palatino Linotype" w:eastAsia="Times New Roman" w:hAnsi="Palatino Linotype" w:cs="Times New Roman"/>
          <w:b/>
          <w:sz w:val="28"/>
          <w:szCs w:val="20"/>
        </w:rPr>
        <w:t xml:space="preserve">Consultation Paper on Changes to the Guidance </w:t>
      </w:r>
      <w:r w:rsidR="00023679">
        <w:rPr>
          <w:rFonts w:ascii="Palatino Linotype" w:eastAsia="Times New Roman" w:hAnsi="Palatino Linotype" w:cs="Times New Roman"/>
          <w:b/>
          <w:sz w:val="28"/>
          <w:szCs w:val="20"/>
        </w:rPr>
        <w:t>on</w:t>
      </w:r>
      <w:r w:rsidRPr="00F82718">
        <w:rPr>
          <w:rFonts w:ascii="Palatino Linotype" w:eastAsia="Times New Roman" w:hAnsi="Palatino Linotype" w:cs="Times New Roman"/>
          <w:b/>
          <w:sz w:val="28"/>
          <w:szCs w:val="20"/>
        </w:rPr>
        <w:t xml:space="preserve"> Returning Instructions</w:t>
      </w:r>
    </w:p>
    <w:p w:rsidR="00CE32B2" w:rsidRPr="00F82718" w:rsidRDefault="00CE32B2" w:rsidP="001908A1">
      <w:pPr>
        <w:spacing w:after="0" w:line="240" w:lineRule="auto"/>
        <w:jc w:val="center"/>
        <w:rPr>
          <w:rFonts w:ascii="Palatino Linotype" w:eastAsia="Times New Roman" w:hAnsi="Palatino Linotype" w:cs="Times New Roman"/>
          <w:b/>
          <w:sz w:val="28"/>
          <w:szCs w:val="20"/>
        </w:rPr>
      </w:pPr>
    </w:p>
    <w:p w:rsidR="00F82718" w:rsidRDefault="00F82718" w:rsidP="001908A1">
      <w:pPr>
        <w:spacing w:before="120" w:after="0" w:line="360" w:lineRule="auto"/>
        <w:jc w:val="center"/>
        <w:rPr>
          <w:rFonts w:ascii="Palatino Linotype" w:eastAsia="Times New Roman" w:hAnsi="Palatino Linotype" w:cs="Times New Roman"/>
          <w:b/>
          <w:i/>
          <w:sz w:val="24"/>
          <w:szCs w:val="24"/>
        </w:rPr>
      </w:pPr>
      <w:r w:rsidRPr="00F82718">
        <w:rPr>
          <w:rFonts w:ascii="Palatino Linotype" w:eastAsia="Times New Roman" w:hAnsi="Palatino Linotype" w:cs="Times New Roman"/>
          <w:b/>
          <w:i/>
          <w:sz w:val="24"/>
          <w:szCs w:val="24"/>
        </w:rPr>
        <w:t>Deadline for responses:</w:t>
      </w:r>
      <w:r w:rsidR="00CE32B2">
        <w:rPr>
          <w:rFonts w:ascii="Palatino Linotype" w:eastAsia="Times New Roman" w:hAnsi="Palatino Linotype" w:cs="Times New Roman"/>
          <w:b/>
          <w:i/>
          <w:sz w:val="24"/>
          <w:szCs w:val="24"/>
        </w:rPr>
        <w:t xml:space="preserve"> </w:t>
      </w:r>
      <w:r w:rsidR="0097256A">
        <w:rPr>
          <w:rFonts w:ascii="Palatino Linotype" w:eastAsia="Times New Roman" w:hAnsi="Palatino Linotype" w:cs="Times New Roman"/>
          <w:b/>
          <w:i/>
          <w:sz w:val="24"/>
          <w:szCs w:val="24"/>
        </w:rPr>
        <w:t xml:space="preserve">25 April </w:t>
      </w:r>
      <w:r w:rsidR="00CE32B2">
        <w:rPr>
          <w:rFonts w:ascii="Palatino Linotype" w:eastAsia="Times New Roman" w:hAnsi="Palatino Linotype" w:cs="Times New Roman"/>
          <w:b/>
          <w:i/>
          <w:sz w:val="24"/>
          <w:szCs w:val="24"/>
        </w:rPr>
        <w:t xml:space="preserve">2014 </w:t>
      </w:r>
    </w:p>
    <w:p w:rsidR="00CE32B2" w:rsidRPr="00F82718" w:rsidRDefault="00CE32B2" w:rsidP="001908A1">
      <w:pPr>
        <w:spacing w:before="120" w:after="0" w:line="360" w:lineRule="auto"/>
        <w:jc w:val="center"/>
        <w:rPr>
          <w:rFonts w:ascii="Palatino Linotype" w:eastAsia="Times New Roman" w:hAnsi="Palatino Linotype" w:cs="Times New Roman"/>
          <w:b/>
          <w:i/>
          <w:sz w:val="24"/>
          <w:szCs w:val="24"/>
        </w:rPr>
      </w:pPr>
    </w:p>
    <w:p w:rsidR="00F82718" w:rsidRPr="001F3997" w:rsidRDefault="00F82718" w:rsidP="001908A1">
      <w:pPr>
        <w:spacing w:after="0" w:line="240" w:lineRule="auto"/>
        <w:rPr>
          <w:rFonts w:ascii="Arial" w:eastAsia="Times New Roman" w:hAnsi="Arial" w:cs="Arial"/>
          <w:b/>
        </w:rPr>
      </w:pPr>
      <w:r w:rsidRPr="001F3997">
        <w:rPr>
          <w:rFonts w:ascii="Arial" w:eastAsia="Times New Roman" w:hAnsi="Arial" w:cs="Arial"/>
          <w:b/>
        </w:rPr>
        <w:t xml:space="preserve">Introduction </w:t>
      </w:r>
    </w:p>
    <w:p w:rsidR="00F82718" w:rsidRPr="001F3997" w:rsidRDefault="00F82718" w:rsidP="001908A1">
      <w:pPr>
        <w:spacing w:after="0" w:line="240" w:lineRule="auto"/>
        <w:rPr>
          <w:rFonts w:ascii="Arial" w:eastAsia="Times New Roman" w:hAnsi="Arial" w:cs="Arial"/>
        </w:rPr>
      </w:pPr>
    </w:p>
    <w:p w:rsidR="00194872" w:rsidRPr="001F3997" w:rsidRDefault="00F82718" w:rsidP="001F3997">
      <w:pPr>
        <w:numPr>
          <w:ilvl w:val="0"/>
          <w:numId w:val="11"/>
        </w:numPr>
        <w:spacing w:before="100" w:beforeAutospacing="1" w:after="150" w:line="300" w:lineRule="atLeast"/>
        <w:contextualSpacing/>
        <w:jc w:val="both"/>
        <w:rPr>
          <w:rFonts w:ascii="Arial" w:eastAsia="Times New Roman" w:hAnsi="Arial" w:cs="Arial"/>
          <w:lang w:eastAsia="en-GB"/>
        </w:rPr>
      </w:pPr>
      <w:r w:rsidRPr="001F3997">
        <w:rPr>
          <w:rFonts w:ascii="Arial" w:hAnsi="Arial" w:cs="Arial"/>
        </w:rPr>
        <w:t xml:space="preserve">The </w:t>
      </w:r>
      <w:r w:rsidR="00E158CF" w:rsidRPr="001F3997">
        <w:rPr>
          <w:rFonts w:ascii="Arial" w:hAnsi="Arial" w:cs="Arial"/>
        </w:rPr>
        <w:t xml:space="preserve">new </w:t>
      </w:r>
      <w:r w:rsidRPr="001F3997">
        <w:rPr>
          <w:rFonts w:ascii="Arial" w:hAnsi="Arial" w:cs="Arial"/>
        </w:rPr>
        <w:t xml:space="preserve">Bar Standards Board (BSB) </w:t>
      </w:r>
      <w:r w:rsidR="00E158CF" w:rsidRPr="001F3997">
        <w:rPr>
          <w:rFonts w:ascii="Arial" w:hAnsi="Arial" w:cs="Arial"/>
        </w:rPr>
        <w:t>Handbook came into force on 6 January 2014</w:t>
      </w:r>
      <w:r w:rsidR="006C7D3C" w:rsidRPr="001F3997">
        <w:rPr>
          <w:rFonts w:ascii="Arial" w:hAnsi="Arial" w:cs="Arial"/>
        </w:rPr>
        <w:t xml:space="preserve">.  A new </w:t>
      </w:r>
      <w:r w:rsidR="00670319" w:rsidRPr="001F3997">
        <w:rPr>
          <w:rFonts w:ascii="Arial" w:hAnsi="Arial" w:cs="Arial"/>
        </w:rPr>
        <w:t>development</w:t>
      </w:r>
      <w:r w:rsidR="006C7D3C" w:rsidRPr="001F3997">
        <w:rPr>
          <w:rFonts w:ascii="Arial" w:hAnsi="Arial" w:cs="Arial"/>
        </w:rPr>
        <w:t xml:space="preserve"> in the regulation of barristers</w:t>
      </w:r>
      <w:r w:rsidR="00670319" w:rsidRPr="001F3997">
        <w:rPr>
          <w:rFonts w:ascii="Arial" w:hAnsi="Arial" w:cs="Arial"/>
        </w:rPr>
        <w:t>,</w:t>
      </w:r>
      <w:r w:rsidR="006C7D3C" w:rsidRPr="001F3997">
        <w:rPr>
          <w:rFonts w:ascii="Arial" w:hAnsi="Arial" w:cs="Arial"/>
        </w:rPr>
        <w:t xml:space="preserve"> the Handbook is built around the principle of outcome</w:t>
      </w:r>
      <w:r w:rsidR="00670319" w:rsidRPr="001F3997">
        <w:rPr>
          <w:rFonts w:ascii="Arial" w:hAnsi="Arial" w:cs="Arial"/>
        </w:rPr>
        <w:t>s</w:t>
      </w:r>
      <w:r w:rsidR="006C7D3C" w:rsidRPr="001F3997">
        <w:rPr>
          <w:rFonts w:ascii="Arial" w:hAnsi="Arial" w:cs="Arial"/>
        </w:rPr>
        <w:t xml:space="preserve"> </w:t>
      </w:r>
      <w:r w:rsidR="00670319" w:rsidRPr="001F3997">
        <w:rPr>
          <w:rFonts w:ascii="Arial" w:hAnsi="Arial" w:cs="Arial"/>
        </w:rPr>
        <w:t>focused</w:t>
      </w:r>
      <w:r w:rsidR="006C7D3C" w:rsidRPr="001F3997">
        <w:rPr>
          <w:rFonts w:ascii="Arial" w:hAnsi="Arial" w:cs="Arial"/>
        </w:rPr>
        <w:t xml:space="preserve"> regulation.  Less prescriptive than the </w:t>
      </w:r>
      <w:r w:rsidR="00670319" w:rsidRPr="001F3997">
        <w:rPr>
          <w:rFonts w:ascii="Arial" w:hAnsi="Arial" w:cs="Arial"/>
        </w:rPr>
        <w:t>C</w:t>
      </w:r>
      <w:r w:rsidR="006C7D3C" w:rsidRPr="001F3997">
        <w:rPr>
          <w:rFonts w:ascii="Arial" w:hAnsi="Arial" w:cs="Arial"/>
        </w:rPr>
        <w:t xml:space="preserve">ode of </w:t>
      </w:r>
      <w:r w:rsidR="00670319" w:rsidRPr="001F3997">
        <w:rPr>
          <w:rFonts w:ascii="Arial" w:hAnsi="Arial" w:cs="Arial"/>
        </w:rPr>
        <w:t>C</w:t>
      </w:r>
      <w:r w:rsidR="006C7D3C" w:rsidRPr="001F3997">
        <w:rPr>
          <w:rFonts w:ascii="Arial" w:hAnsi="Arial" w:cs="Arial"/>
        </w:rPr>
        <w:t>onduct that preceded it</w:t>
      </w:r>
      <w:r w:rsidR="00670319" w:rsidRPr="001F3997">
        <w:rPr>
          <w:rFonts w:ascii="Arial" w:hAnsi="Arial" w:cs="Arial"/>
        </w:rPr>
        <w:t>,</w:t>
      </w:r>
      <w:r w:rsidR="006C7D3C" w:rsidRPr="001F3997">
        <w:rPr>
          <w:rFonts w:ascii="Arial" w:hAnsi="Arial" w:cs="Arial"/>
        </w:rPr>
        <w:t xml:space="preserve"> the Handbook places more focus on the </w:t>
      </w:r>
      <w:r w:rsidR="00670319" w:rsidRPr="001F3997">
        <w:rPr>
          <w:rFonts w:ascii="Arial" w:hAnsi="Arial" w:cs="Arial"/>
        </w:rPr>
        <w:t xml:space="preserve">required </w:t>
      </w:r>
      <w:r w:rsidR="006C7D3C" w:rsidRPr="001F3997">
        <w:rPr>
          <w:rFonts w:ascii="Arial" w:hAnsi="Arial" w:cs="Arial"/>
        </w:rPr>
        <w:t xml:space="preserve">outcome of </w:t>
      </w:r>
      <w:r w:rsidR="00670319" w:rsidRPr="001F3997">
        <w:rPr>
          <w:rFonts w:ascii="Arial" w:hAnsi="Arial" w:cs="Arial"/>
        </w:rPr>
        <w:t>the BSB’s regulatory arrangements</w:t>
      </w:r>
      <w:r w:rsidR="0062648C" w:rsidRPr="001F3997">
        <w:rPr>
          <w:rFonts w:ascii="Arial" w:hAnsi="Arial" w:cs="Arial"/>
        </w:rPr>
        <w:t xml:space="preserve">, rather than attempting to define how a barrister should act in every possible situation.  The rules and associated guidance are </w:t>
      </w:r>
      <w:r w:rsidR="003179AC" w:rsidRPr="001F3997">
        <w:rPr>
          <w:rFonts w:ascii="Arial" w:hAnsi="Arial" w:cs="Arial"/>
        </w:rPr>
        <w:t xml:space="preserve">not only </w:t>
      </w:r>
      <w:r w:rsidR="0062648C" w:rsidRPr="001F3997">
        <w:rPr>
          <w:rFonts w:ascii="Arial" w:hAnsi="Arial" w:cs="Arial"/>
        </w:rPr>
        <w:t>therefore a key tool for barristers</w:t>
      </w:r>
      <w:r w:rsidR="00670319" w:rsidRPr="001F3997">
        <w:rPr>
          <w:rFonts w:ascii="Arial" w:hAnsi="Arial" w:cs="Arial"/>
        </w:rPr>
        <w:t>, but also e</w:t>
      </w:r>
      <w:r w:rsidR="003179AC" w:rsidRPr="001F3997">
        <w:rPr>
          <w:rFonts w:ascii="Arial" w:hAnsi="Arial" w:cs="Arial"/>
        </w:rPr>
        <w:t>nsure that clients and members of the public are aware of what they can expect when instructing a barrister and can understand what action can be taken in the event of improper behaviour by that barrister</w:t>
      </w:r>
      <w:r w:rsidR="00194872" w:rsidRPr="001F3997">
        <w:rPr>
          <w:rFonts w:ascii="Arial" w:hAnsi="Arial" w:cs="Arial"/>
        </w:rPr>
        <w:t>.</w:t>
      </w:r>
    </w:p>
    <w:p w:rsidR="006C7D3C" w:rsidRPr="001F3997" w:rsidRDefault="006C7D3C" w:rsidP="001F3997">
      <w:pPr>
        <w:spacing w:before="100" w:beforeAutospacing="1" w:after="150" w:line="300" w:lineRule="atLeast"/>
        <w:ind w:left="720"/>
        <w:contextualSpacing/>
        <w:jc w:val="both"/>
        <w:rPr>
          <w:rFonts w:ascii="Arial" w:eastAsia="Times New Roman" w:hAnsi="Arial" w:cs="Arial"/>
          <w:lang w:eastAsia="en-GB"/>
        </w:rPr>
      </w:pPr>
    </w:p>
    <w:p w:rsidR="00E158CF" w:rsidRPr="001F3997" w:rsidRDefault="00CB14F0" w:rsidP="001F3997">
      <w:pPr>
        <w:numPr>
          <w:ilvl w:val="0"/>
          <w:numId w:val="11"/>
        </w:numPr>
        <w:spacing w:before="100" w:beforeAutospacing="1" w:after="150" w:line="300" w:lineRule="atLeast"/>
        <w:contextualSpacing/>
        <w:jc w:val="both"/>
        <w:rPr>
          <w:rFonts w:ascii="Arial" w:eastAsia="Times New Roman" w:hAnsi="Arial" w:cs="Arial"/>
          <w:lang w:eastAsia="en-GB"/>
        </w:rPr>
      </w:pPr>
      <w:r w:rsidRPr="001F3997">
        <w:rPr>
          <w:rFonts w:ascii="Arial" w:hAnsi="Arial" w:cs="Arial"/>
        </w:rPr>
        <w:t xml:space="preserve">Shortly before the </w:t>
      </w:r>
      <w:r w:rsidR="00E158CF" w:rsidRPr="001F3997">
        <w:rPr>
          <w:rFonts w:ascii="Arial" w:hAnsi="Arial" w:cs="Arial"/>
        </w:rPr>
        <w:t xml:space="preserve">introduction of the Handbook, the BSB considered the issue of returning instructions where there were substantive changes to the basis of a barrister’s remuneration.  </w:t>
      </w:r>
      <w:r w:rsidR="00F82718" w:rsidRPr="001F3997">
        <w:rPr>
          <w:rFonts w:ascii="Arial" w:hAnsi="Arial" w:cs="Arial"/>
        </w:rPr>
        <w:t xml:space="preserve">Responding </w:t>
      </w:r>
      <w:r w:rsidR="00E158CF" w:rsidRPr="001F3997">
        <w:rPr>
          <w:rFonts w:ascii="Arial" w:hAnsi="Arial" w:cs="Arial"/>
        </w:rPr>
        <w:t xml:space="preserve">in particular </w:t>
      </w:r>
      <w:r w:rsidR="00F82718" w:rsidRPr="001F3997">
        <w:rPr>
          <w:rFonts w:ascii="Arial" w:hAnsi="Arial" w:cs="Arial"/>
        </w:rPr>
        <w:t>to the Legal Aid Agency</w:t>
      </w:r>
      <w:r w:rsidR="00E158CF" w:rsidRPr="001F3997">
        <w:rPr>
          <w:rFonts w:ascii="Arial" w:hAnsi="Arial" w:cs="Arial"/>
        </w:rPr>
        <w:t>’s</w:t>
      </w:r>
      <w:r w:rsidR="00F82718" w:rsidRPr="001F3997">
        <w:rPr>
          <w:rFonts w:ascii="Arial" w:hAnsi="Arial" w:cs="Arial"/>
        </w:rPr>
        <w:t xml:space="preserve"> </w:t>
      </w:r>
      <w:r w:rsidR="00E158CF" w:rsidRPr="001F3997">
        <w:rPr>
          <w:rFonts w:ascii="Arial" w:hAnsi="Arial" w:cs="Arial"/>
        </w:rPr>
        <w:t xml:space="preserve">Very High Cost Cases </w:t>
      </w:r>
      <w:r w:rsidRPr="001F3997">
        <w:rPr>
          <w:rFonts w:ascii="Arial" w:hAnsi="Arial" w:cs="Arial"/>
        </w:rPr>
        <w:t xml:space="preserve">(VHCCs) </w:t>
      </w:r>
      <w:r w:rsidR="00F82718" w:rsidRPr="001F3997">
        <w:rPr>
          <w:rFonts w:ascii="Arial" w:hAnsi="Arial" w:cs="Arial"/>
        </w:rPr>
        <w:t>contract changes the BSB issued a policy statement, dated 25 November 2013, clarifying the rules and guidance applica</w:t>
      </w:r>
      <w:r w:rsidR="00A222DF" w:rsidRPr="001F3997">
        <w:rPr>
          <w:rFonts w:ascii="Arial" w:hAnsi="Arial" w:cs="Arial"/>
        </w:rPr>
        <w:t>b</w:t>
      </w:r>
      <w:r w:rsidR="00F82718" w:rsidRPr="001F3997">
        <w:rPr>
          <w:rFonts w:ascii="Arial" w:hAnsi="Arial" w:cs="Arial"/>
        </w:rPr>
        <w:t xml:space="preserve">le to barristers considering returning instructions following a change in their remuneration.  </w:t>
      </w:r>
      <w:r w:rsidR="003179AC" w:rsidRPr="001F3997">
        <w:rPr>
          <w:rFonts w:ascii="Arial" w:hAnsi="Arial" w:cs="Arial"/>
        </w:rPr>
        <w:t>This drew on the BSB’s existing guidance that a change in remuneration would amount to a withdrawal of instructions by the client, meaning that a barrister was entitled to withdraw from the case without regard to the potential detriment to the client.</w:t>
      </w:r>
      <w:r w:rsidRPr="001F3997">
        <w:rPr>
          <w:rFonts w:ascii="Arial" w:hAnsi="Arial" w:cs="Arial"/>
        </w:rPr>
        <w:t xml:space="preserve"> </w:t>
      </w:r>
    </w:p>
    <w:p w:rsidR="00E158CF" w:rsidRPr="001F3997" w:rsidRDefault="00E158CF" w:rsidP="001F3997">
      <w:pPr>
        <w:spacing w:before="100" w:beforeAutospacing="1" w:after="150" w:line="300" w:lineRule="atLeast"/>
        <w:ind w:left="720"/>
        <w:contextualSpacing/>
        <w:jc w:val="both"/>
        <w:rPr>
          <w:rFonts w:ascii="Arial" w:eastAsia="Times New Roman" w:hAnsi="Arial" w:cs="Arial"/>
          <w:lang w:eastAsia="en-GB"/>
        </w:rPr>
      </w:pPr>
    </w:p>
    <w:p w:rsidR="00E158CF" w:rsidRPr="001F3997" w:rsidRDefault="00E158CF" w:rsidP="001F3997">
      <w:pPr>
        <w:numPr>
          <w:ilvl w:val="0"/>
          <w:numId w:val="11"/>
        </w:numPr>
        <w:spacing w:before="100" w:beforeAutospacing="1" w:after="150" w:line="300" w:lineRule="atLeast"/>
        <w:contextualSpacing/>
        <w:jc w:val="both"/>
        <w:rPr>
          <w:rFonts w:ascii="Arial" w:eastAsia="Times New Roman" w:hAnsi="Arial" w:cs="Arial"/>
          <w:lang w:eastAsia="en-GB"/>
        </w:rPr>
      </w:pPr>
      <w:r w:rsidRPr="001F3997">
        <w:rPr>
          <w:rFonts w:ascii="Arial" w:hAnsi="Arial" w:cs="Arial"/>
        </w:rPr>
        <w:t>Whilst issuing that guidance, a</w:t>
      </w:r>
      <w:r w:rsidR="00F82718" w:rsidRPr="001F3997">
        <w:rPr>
          <w:rFonts w:ascii="Arial" w:hAnsi="Arial" w:cs="Arial"/>
        </w:rPr>
        <w:t xml:space="preserve"> commitment was made to consult fully on </w:t>
      </w:r>
      <w:r w:rsidRPr="001F3997">
        <w:rPr>
          <w:rFonts w:ascii="Arial" w:hAnsi="Arial" w:cs="Arial"/>
        </w:rPr>
        <w:t xml:space="preserve">future </w:t>
      </w:r>
      <w:r w:rsidR="00F82718" w:rsidRPr="001F3997">
        <w:rPr>
          <w:rFonts w:ascii="Arial" w:hAnsi="Arial" w:cs="Arial"/>
        </w:rPr>
        <w:t xml:space="preserve">changes to the guidance </w:t>
      </w:r>
      <w:r w:rsidRPr="001F3997">
        <w:rPr>
          <w:rFonts w:ascii="Arial" w:hAnsi="Arial" w:cs="Arial"/>
        </w:rPr>
        <w:t xml:space="preserve">on this topic </w:t>
      </w:r>
      <w:r w:rsidR="00F82718" w:rsidRPr="001F3997">
        <w:rPr>
          <w:rFonts w:ascii="Arial" w:hAnsi="Arial" w:cs="Arial"/>
        </w:rPr>
        <w:t>following the Handbook</w:t>
      </w:r>
      <w:r w:rsidRPr="001F3997">
        <w:rPr>
          <w:rFonts w:ascii="Arial" w:hAnsi="Arial" w:cs="Arial"/>
        </w:rPr>
        <w:t>’</w:t>
      </w:r>
      <w:r w:rsidR="00522A14" w:rsidRPr="001F3997">
        <w:rPr>
          <w:rFonts w:ascii="Arial" w:hAnsi="Arial" w:cs="Arial"/>
        </w:rPr>
        <w:t>s</w:t>
      </w:r>
      <w:r w:rsidR="00F82718" w:rsidRPr="001F3997">
        <w:rPr>
          <w:rFonts w:ascii="Arial" w:hAnsi="Arial" w:cs="Arial"/>
        </w:rPr>
        <w:t xml:space="preserve"> launch.</w:t>
      </w:r>
      <w:r w:rsidRPr="001F3997">
        <w:rPr>
          <w:rFonts w:ascii="Arial" w:hAnsi="Arial" w:cs="Arial"/>
        </w:rPr>
        <w:t xml:space="preserve">  This was because the issues raised highlighted some wider risks to the regulatory objectives that may not have been adequately addressed by existing guidance.</w:t>
      </w:r>
      <w:r w:rsidR="003179AC" w:rsidRPr="001F3997">
        <w:rPr>
          <w:rFonts w:ascii="Arial" w:hAnsi="Arial" w:cs="Arial"/>
        </w:rPr>
        <w:t xml:space="preserve">  In particular, the Board felt that there was a risk of undue detriment to clients, who through no fault of their own found themselves without legal representation</w:t>
      </w:r>
      <w:r w:rsidR="003A687B" w:rsidRPr="001F3997">
        <w:rPr>
          <w:rFonts w:ascii="Arial" w:hAnsi="Arial" w:cs="Arial"/>
        </w:rPr>
        <w:t>,</w:t>
      </w:r>
      <w:r w:rsidR="003179AC" w:rsidRPr="001F3997">
        <w:rPr>
          <w:rFonts w:ascii="Arial" w:hAnsi="Arial" w:cs="Arial"/>
        </w:rPr>
        <w:t xml:space="preserve"> for example because a third party such as </w:t>
      </w:r>
      <w:r w:rsidR="003A687B" w:rsidRPr="001F3997">
        <w:rPr>
          <w:rFonts w:ascii="Arial" w:hAnsi="Arial" w:cs="Arial"/>
        </w:rPr>
        <w:t xml:space="preserve">the Legal Aid Agency had changed the rate of remuneration for the barrister.  In such cases, the previous guidance </w:t>
      </w:r>
      <w:r w:rsidR="00E67E6B" w:rsidRPr="001F3997">
        <w:rPr>
          <w:rFonts w:ascii="Arial" w:hAnsi="Arial" w:cs="Arial"/>
        </w:rPr>
        <w:t>was perhaps too a blunt instrument that may not have taken into account all of the relevant regulatory issues</w:t>
      </w:r>
      <w:r w:rsidR="003A687B" w:rsidRPr="001F3997">
        <w:rPr>
          <w:rFonts w:ascii="Arial" w:hAnsi="Arial" w:cs="Arial"/>
        </w:rPr>
        <w:t>.</w:t>
      </w:r>
    </w:p>
    <w:p w:rsidR="00E158CF" w:rsidRPr="001F3997" w:rsidRDefault="00E158CF" w:rsidP="001F3997">
      <w:pPr>
        <w:ind w:left="360"/>
        <w:jc w:val="both"/>
        <w:rPr>
          <w:rFonts w:ascii="Arial" w:eastAsia="Times New Roman" w:hAnsi="Arial" w:cs="Arial"/>
          <w:lang w:eastAsia="en-GB"/>
        </w:rPr>
      </w:pPr>
    </w:p>
    <w:p w:rsidR="00F82718" w:rsidRPr="001F3997" w:rsidRDefault="00E158CF" w:rsidP="001F3997">
      <w:pPr>
        <w:numPr>
          <w:ilvl w:val="0"/>
          <w:numId w:val="11"/>
        </w:numPr>
        <w:spacing w:before="100" w:beforeAutospacing="1" w:after="150" w:line="300" w:lineRule="atLeast"/>
        <w:contextualSpacing/>
        <w:jc w:val="both"/>
        <w:rPr>
          <w:rFonts w:ascii="Arial" w:eastAsia="Times New Roman" w:hAnsi="Arial" w:cs="Arial"/>
          <w:lang w:eastAsia="en-GB"/>
        </w:rPr>
      </w:pPr>
      <w:r w:rsidRPr="001F3997">
        <w:rPr>
          <w:rFonts w:ascii="Arial" w:hAnsi="Arial" w:cs="Arial"/>
        </w:rPr>
        <w:t>This consultation invites views on updated guidance on returning instructions.</w:t>
      </w:r>
      <w:r w:rsidR="00F82718" w:rsidRPr="001F3997">
        <w:rPr>
          <w:rFonts w:ascii="Arial" w:hAnsi="Arial" w:cs="Arial"/>
        </w:rPr>
        <w:t xml:space="preserve">    </w:t>
      </w:r>
    </w:p>
    <w:p w:rsidR="007D327D" w:rsidRDefault="007D327D" w:rsidP="001F3997">
      <w:pPr>
        <w:pStyle w:val="ListParagraph"/>
        <w:jc w:val="both"/>
        <w:rPr>
          <w:rFonts w:ascii="Arial" w:hAnsi="Arial" w:cs="Arial"/>
        </w:rPr>
      </w:pPr>
    </w:p>
    <w:p w:rsidR="001F3997" w:rsidRPr="001F3997" w:rsidRDefault="001F3997" w:rsidP="001F3997">
      <w:pPr>
        <w:pStyle w:val="ListParagraph"/>
        <w:jc w:val="both"/>
        <w:rPr>
          <w:rFonts w:ascii="Arial" w:hAnsi="Arial" w:cs="Arial"/>
        </w:rPr>
      </w:pPr>
    </w:p>
    <w:p w:rsidR="00F3063C" w:rsidRPr="001F3997" w:rsidRDefault="00DD6860" w:rsidP="001F3997">
      <w:pPr>
        <w:jc w:val="both"/>
        <w:rPr>
          <w:rFonts w:ascii="Arial" w:hAnsi="Arial" w:cs="Arial"/>
          <w:b/>
        </w:rPr>
      </w:pPr>
      <w:r w:rsidRPr="001F3997">
        <w:rPr>
          <w:rFonts w:ascii="Arial" w:hAnsi="Arial" w:cs="Arial"/>
          <w:b/>
        </w:rPr>
        <w:lastRenderedPageBreak/>
        <w:t xml:space="preserve">Current </w:t>
      </w:r>
      <w:r w:rsidR="00CC3224" w:rsidRPr="001F3997">
        <w:rPr>
          <w:rFonts w:ascii="Arial" w:hAnsi="Arial" w:cs="Arial"/>
          <w:b/>
        </w:rPr>
        <w:t>P</w:t>
      </w:r>
      <w:r w:rsidRPr="001F3997">
        <w:rPr>
          <w:rFonts w:ascii="Arial" w:hAnsi="Arial" w:cs="Arial"/>
          <w:b/>
        </w:rPr>
        <w:t xml:space="preserve">osition and </w:t>
      </w:r>
      <w:r w:rsidR="00F82718" w:rsidRPr="001F3997">
        <w:rPr>
          <w:rFonts w:ascii="Arial" w:hAnsi="Arial" w:cs="Arial"/>
          <w:b/>
        </w:rPr>
        <w:t xml:space="preserve">the </w:t>
      </w:r>
      <w:r w:rsidR="00E158CF" w:rsidRPr="001F3997">
        <w:rPr>
          <w:rFonts w:ascii="Arial" w:hAnsi="Arial" w:cs="Arial"/>
          <w:b/>
        </w:rPr>
        <w:t>n</w:t>
      </w:r>
      <w:r w:rsidRPr="001F3997">
        <w:rPr>
          <w:rFonts w:ascii="Arial" w:hAnsi="Arial" w:cs="Arial"/>
          <w:b/>
        </w:rPr>
        <w:t xml:space="preserve">eed for </w:t>
      </w:r>
      <w:r w:rsidR="00E158CF" w:rsidRPr="001F3997">
        <w:rPr>
          <w:rFonts w:ascii="Arial" w:hAnsi="Arial" w:cs="Arial"/>
          <w:b/>
        </w:rPr>
        <w:t>c</w:t>
      </w:r>
      <w:r w:rsidRPr="001F3997">
        <w:rPr>
          <w:rFonts w:ascii="Arial" w:hAnsi="Arial" w:cs="Arial"/>
          <w:b/>
        </w:rPr>
        <w:t>hange</w:t>
      </w:r>
      <w:r w:rsidR="001A56A2" w:rsidRPr="001F3997">
        <w:rPr>
          <w:rFonts w:ascii="Arial" w:hAnsi="Arial" w:cs="Arial"/>
          <w:b/>
        </w:rPr>
        <w:t>:</w:t>
      </w:r>
    </w:p>
    <w:p w:rsidR="00CA7710" w:rsidRPr="001F3997" w:rsidRDefault="00CA7710" w:rsidP="001F3997">
      <w:pPr>
        <w:pStyle w:val="ListParagraph"/>
        <w:jc w:val="both"/>
        <w:rPr>
          <w:rFonts w:ascii="Arial" w:hAnsi="Arial" w:cs="Arial"/>
        </w:rPr>
      </w:pPr>
    </w:p>
    <w:p w:rsidR="00D9050F" w:rsidRPr="001F3997" w:rsidRDefault="00D9050F" w:rsidP="001F3997">
      <w:pPr>
        <w:pStyle w:val="ListParagraph"/>
        <w:jc w:val="both"/>
        <w:rPr>
          <w:rFonts w:ascii="Arial" w:hAnsi="Arial" w:cs="Arial"/>
        </w:rPr>
      </w:pPr>
    </w:p>
    <w:p w:rsidR="003A687B" w:rsidRPr="001F3997" w:rsidRDefault="008061C1" w:rsidP="001F3997">
      <w:pPr>
        <w:pStyle w:val="ListParagraph"/>
        <w:numPr>
          <w:ilvl w:val="0"/>
          <w:numId w:val="11"/>
        </w:numPr>
        <w:jc w:val="both"/>
        <w:rPr>
          <w:rFonts w:ascii="Arial" w:hAnsi="Arial" w:cs="Arial"/>
        </w:rPr>
      </w:pPr>
      <w:r w:rsidRPr="001F3997">
        <w:rPr>
          <w:rFonts w:ascii="Arial" w:hAnsi="Arial" w:cs="Arial"/>
        </w:rPr>
        <w:t xml:space="preserve">The </w:t>
      </w:r>
      <w:r w:rsidR="00D877B5" w:rsidRPr="001F3997">
        <w:rPr>
          <w:rFonts w:ascii="Arial" w:hAnsi="Arial" w:cs="Arial"/>
        </w:rPr>
        <w:t>new Handbook came into force on 6</w:t>
      </w:r>
      <w:r w:rsidR="00554A6B">
        <w:rPr>
          <w:rFonts w:ascii="Arial" w:hAnsi="Arial" w:cs="Arial"/>
        </w:rPr>
        <w:t xml:space="preserve"> January 2014</w:t>
      </w:r>
      <w:r w:rsidR="00AA3644" w:rsidRPr="001F3997">
        <w:rPr>
          <w:rFonts w:ascii="Arial" w:hAnsi="Arial" w:cs="Arial"/>
        </w:rPr>
        <w:t xml:space="preserve">.  </w:t>
      </w:r>
      <w:r w:rsidR="00D9050F" w:rsidRPr="001F3997">
        <w:rPr>
          <w:rFonts w:ascii="Arial" w:hAnsi="Arial" w:cs="Arial"/>
        </w:rPr>
        <w:t xml:space="preserve">While as a regulator the BSB allows </w:t>
      </w:r>
      <w:r w:rsidR="002A579C" w:rsidRPr="001F3997">
        <w:rPr>
          <w:rFonts w:ascii="Arial" w:hAnsi="Arial" w:cs="Arial"/>
        </w:rPr>
        <w:t>barristers</w:t>
      </w:r>
      <w:r w:rsidR="00D9050F" w:rsidRPr="001F3997">
        <w:rPr>
          <w:rFonts w:ascii="Arial" w:hAnsi="Arial" w:cs="Arial"/>
        </w:rPr>
        <w:t xml:space="preserve"> </w:t>
      </w:r>
      <w:r w:rsidR="002A579C" w:rsidRPr="001F3997">
        <w:rPr>
          <w:rFonts w:ascii="Arial" w:hAnsi="Arial" w:cs="Arial"/>
        </w:rPr>
        <w:t xml:space="preserve">significant </w:t>
      </w:r>
      <w:r w:rsidR="00D9050F" w:rsidRPr="001F3997">
        <w:rPr>
          <w:rFonts w:ascii="Arial" w:hAnsi="Arial" w:cs="Arial"/>
        </w:rPr>
        <w:t xml:space="preserve">flexibility in the way they </w:t>
      </w:r>
      <w:r w:rsidR="002A579C" w:rsidRPr="001F3997">
        <w:rPr>
          <w:rFonts w:ascii="Arial" w:hAnsi="Arial" w:cs="Arial"/>
        </w:rPr>
        <w:t xml:space="preserve">operate provided that they </w:t>
      </w:r>
      <w:r w:rsidR="00D9050F" w:rsidRPr="001F3997">
        <w:rPr>
          <w:rFonts w:ascii="Arial" w:hAnsi="Arial" w:cs="Arial"/>
        </w:rPr>
        <w:t xml:space="preserve">achieve </w:t>
      </w:r>
      <w:r w:rsidR="002A579C" w:rsidRPr="001F3997">
        <w:rPr>
          <w:rFonts w:ascii="Arial" w:hAnsi="Arial" w:cs="Arial"/>
        </w:rPr>
        <w:t xml:space="preserve">specified </w:t>
      </w:r>
      <w:r w:rsidR="00D9050F" w:rsidRPr="001F3997">
        <w:rPr>
          <w:rFonts w:ascii="Arial" w:hAnsi="Arial" w:cs="Arial"/>
        </w:rPr>
        <w:t>regulatory outcomes</w:t>
      </w:r>
      <w:r w:rsidR="003A687B" w:rsidRPr="001F3997">
        <w:rPr>
          <w:rFonts w:ascii="Arial" w:hAnsi="Arial" w:cs="Arial"/>
        </w:rPr>
        <w:t>,</w:t>
      </w:r>
      <w:r w:rsidR="00D9050F" w:rsidRPr="001F3997">
        <w:rPr>
          <w:rFonts w:ascii="Arial" w:hAnsi="Arial" w:cs="Arial"/>
        </w:rPr>
        <w:t xml:space="preserve"> </w:t>
      </w:r>
      <w:r w:rsidR="006A070B" w:rsidRPr="001F3997">
        <w:rPr>
          <w:rFonts w:ascii="Arial" w:hAnsi="Arial" w:cs="Arial"/>
        </w:rPr>
        <w:t xml:space="preserve">the Handbook </w:t>
      </w:r>
      <w:r w:rsidR="002A579C" w:rsidRPr="001F3997">
        <w:rPr>
          <w:rFonts w:ascii="Arial" w:hAnsi="Arial" w:cs="Arial"/>
        </w:rPr>
        <w:t xml:space="preserve">does </w:t>
      </w:r>
      <w:r w:rsidR="005112E5" w:rsidRPr="001F3997">
        <w:rPr>
          <w:rFonts w:ascii="Arial" w:hAnsi="Arial" w:cs="Arial"/>
        </w:rPr>
        <w:t xml:space="preserve">includes </w:t>
      </w:r>
      <w:r w:rsidR="006A070B" w:rsidRPr="001F3997">
        <w:rPr>
          <w:rFonts w:ascii="Arial" w:hAnsi="Arial" w:cs="Arial"/>
        </w:rPr>
        <w:t xml:space="preserve">a </w:t>
      </w:r>
      <w:r w:rsidR="00117C09" w:rsidRPr="001F3997">
        <w:rPr>
          <w:rFonts w:ascii="Arial" w:hAnsi="Arial" w:cs="Arial"/>
        </w:rPr>
        <w:t>number of prescri</w:t>
      </w:r>
      <w:r w:rsidR="007B344F" w:rsidRPr="001F3997">
        <w:rPr>
          <w:rFonts w:ascii="Arial" w:hAnsi="Arial" w:cs="Arial"/>
        </w:rPr>
        <w:t xml:space="preserve">ptive rules.  Each </w:t>
      </w:r>
      <w:r w:rsidR="00651506" w:rsidRPr="001F3997">
        <w:rPr>
          <w:rFonts w:ascii="Arial" w:hAnsi="Arial" w:cs="Arial"/>
        </w:rPr>
        <w:t>rule</w:t>
      </w:r>
      <w:r w:rsidR="007647F5" w:rsidRPr="001F3997">
        <w:rPr>
          <w:rFonts w:ascii="Arial" w:hAnsi="Arial" w:cs="Arial"/>
        </w:rPr>
        <w:t xml:space="preserve"> </w:t>
      </w:r>
      <w:r w:rsidR="009421AA" w:rsidRPr="001F3997">
        <w:rPr>
          <w:rFonts w:ascii="Arial" w:hAnsi="Arial" w:cs="Arial"/>
        </w:rPr>
        <w:t>underpin</w:t>
      </w:r>
      <w:r w:rsidR="007B344F" w:rsidRPr="001F3997">
        <w:rPr>
          <w:rFonts w:ascii="Arial" w:hAnsi="Arial" w:cs="Arial"/>
        </w:rPr>
        <w:t>s</w:t>
      </w:r>
      <w:r w:rsidR="009421AA" w:rsidRPr="001F3997">
        <w:rPr>
          <w:rFonts w:ascii="Arial" w:hAnsi="Arial" w:cs="Arial"/>
        </w:rPr>
        <w:t xml:space="preserve"> </w:t>
      </w:r>
      <w:r w:rsidR="007B344F" w:rsidRPr="001F3997">
        <w:rPr>
          <w:rFonts w:ascii="Arial" w:hAnsi="Arial" w:cs="Arial"/>
        </w:rPr>
        <w:t xml:space="preserve">one or more of the </w:t>
      </w:r>
      <w:r w:rsidR="007647F5" w:rsidRPr="001F3997">
        <w:rPr>
          <w:rFonts w:ascii="Arial" w:hAnsi="Arial" w:cs="Arial"/>
        </w:rPr>
        <w:t>required regulatory outcome</w:t>
      </w:r>
      <w:r w:rsidR="007B344F" w:rsidRPr="001F3997">
        <w:rPr>
          <w:rFonts w:ascii="Arial" w:hAnsi="Arial" w:cs="Arial"/>
        </w:rPr>
        <w:t xml:space="preserve">s and the accompanying guidance assists barrister in applying the rule.  </w:t>
      </w:r>
      <w:r w:rsidR="003A687B" w:rsidRPr="001F3997">
        <w:rPr>
          <w:rFonts w:ascii="Arial" w:hAnsi="Arial" w:cs="Arial"/>
        </w:rPr>
        <w:t>The relevant outcomes that the BSB is seeking to achieve are:</w:t>
      </w:r>
    </w:p>
    <w:p w:rsidR="003A687B" w:rsidRPr="001F3997" w:rsidRDefault="003A687B" w:rsidP="001F3997">
      <w:pPr>
        <w:pStyle w:val="ListParagraph"/>
        <w:numPr>
          <w:ilvl w:val="1"/>
          <w:numId w:val="11"/>
        </w:numPr>
        <w:jc w:val="both"/>
        <w:rPr>
          <w:rFonts w:ascii="Arial" w:hAnsi="Arial" w:cs="Arial"/>
        </w:rPr>
      </w:pPr>
      <w:r w:rsidRPr="001F3997">
        <w:rPr>
          <w:rFonts w:ascii="Arial" w:hAnsi="Arial" w:cs="Arial"/>
        </w:rPr>
        <w:t>BSB authorised persons do not accept instructions from clients where there is a conflict between their own interests and the clients’ or where there is a conflict between one or more clients except where permitted by the BSB Handbook;</w:t>
      </w:r>
    </w:p>
    <w:p w:rsidR="003A687B" w:rsidRPr="001F3997" w:rsidRDefault="003A687B" w:rsidP="001F3997">
      <w:pPr>
        <w:pStyle w:val="ListParagraph"/>
        <w:numPr>
          <w:ilvl w:val="1"/>
          <w:numId w:val="11"/>
        </w:numPr>
        <w:jc w:val="both"/>
        <w:rPr>
          <w:rFonts w:ascii="Arial" w:hAnsi="Arial" w:cs="Arial"/>
        </w:rPr>
      </w:pPr>
      <w:r w:rsidRPr="001F3997">
        <w:rPr>
          <w:rFonts w:ascii="Arial" w:hAnsi="Arial" w:cs="Arial"/>
        </w:rPr>
        <w:t>Instructions are not accepted, refused or returned in circumstances which adversely affect the administration of justice, access to justice or (so far as compatible with these) the best interests of the client; and</w:t>
      </w:r>
    </w:p>
    <w:p w:rsidR="003A687B" w:rsidRPr="001F3997" w:rsidRDefault="003A687B" w:rsidP="001F3997">
      <w:pPr>
        <w:pStyle w:val="ListParagraph"/>
        <w:numPr>
          <w:ilvl w:val="1"/>
          <w:numId w:val="11"/>
        </w:numPr>
        <w:jc w:val="both"/>
        <w:rPr>
          <w:rFonts w:ascii="Arial" w:hAnsi="Arial" w:cs="Arial"/>
        </w:rPr>
      </w:pPr>
      <w:r w:rsidRPr="001F3997">
        <w:rPr>
          <w:rFonts w:ascii="Arial" w:hAnsi="Arial" w:cs="Arial"/>
        </w:rPr>
        <w:t>Clients and BSB authorised persons are clear about the circumstances in which instructions may not be accepted or may or must be returned.</w:t>
      </w:r>
    </w:p>
    <w:p w:rsidR="003A687B" w:rsidRPr="001F3997" w:rsidRDefault="003A687B" w:rsidP="001F3997">
      <w:pPr>
        <w:pStyle w:val="ListParagraph"/>
        <w:jc w:val="both"/>
        <w:rPr>
          <w:rFonts w:ascii="Arial" w:hAnsi="Arial" w:cs="Arial"/>
        </w:rPr>
      </w:pPr>
    </w:p>
    <w:p w:rsidR="002A579C" w:rsidRPr="001F3997" w:rsidRDefault="00670319" w:rsidP="001F3997">
      <w:pPr>
        <w:pStyle w:val="ListParagraph"/>
        <w:numPr>
          <w:ilvl w:val="0"/>
          <w:numId w:val="11"/>
        </w:numPr>
        <w:jc w:val="both"/>
        <w:rPr>
          <w:rFonts w:ascii="Arial" w:hAnsi="Arial" w:cs="Arial"/>
        </w:rPr>
      </w:pPr>
      <w:r w:rsidRPr="001F3997">
        <w:rPr>
          <w:rFonts w:ascii="Arial" w:hAnsi="Arial" w:cs="Arial"/>
        </w:rPr>
        <w:t xml:space="preserve">Clients “instruct” barristers when they ask them to provide legal services, such as advice or advocacy.  In certain circumstances, barristers may be entitled </w:t>
      </w:r>
      <w:r w:rsidR="00157D5B" w:rsidRPr="001F3997">
        <w:rPr>
          <w:rFonts w:ascii="Arial" w:hAnsi="Arial" w:cs="Arial"/>
        </w:rPr>
        <w:t xml:space="preserve">(or in fact obliged by their regulatory duties) </w:t>
      </w:r>
      <w:r w:rsidRPr="001F3997">
        <w:rPr>
          <w:rFonts w:ascii="Arial" w:hAnsi="Arial" w:cs="Arial"/>
        </w:rPr>
        <w:t>to “r</w:t>
      </w:r>
      <w:r w:rsidR="003A687B" w:rsidRPr="001F3997">
        <w:rPr>
          <w:rFonts w:ascii="Arial" w:hAnsi="Arial" w:cs="Arial"/>
        </w:rPr>
        <w:t>eturn instructions”</w:t>
      </w:r>
      <w:r w:rsidR="00157D5B" w:rsidRPr="001F3997">
        <w:rPr>
          <w:rFonts w:ascii="Arial" w:hAnsi="Arial" w:cs="Arial"/>
        </w:rPr>
        <w:t>, in which case they will</w:t>
      </w:r>
      <w:r w:rsidR="003A687B" w:rsidRPr="001F3997">
        <w:rPr>
          <w:rFonts w:ascii="Arial" w:hAnsi="Arial" w:cs="Arial"/>
        </w:rPr>
        <w:t xml:space="preserve"> stop representing a client</w:t>
      </w:r>
      <w:r w:rsidR="009103CD" w:rsidRPr="001F3997">
        <w:rPr>
          <w:rFonts w:ascii="Arial" w:hAnsi="Arial" w:cs="Arial"/>
        </w:rPr>
        <w:t xml:space="preserve">.  When a barrister ceases to act this may have serious consequences for a client and the wider administration of justice, especially if the client is left without legal representation close to a trial.  </w:t>
      </w:r>
      <w:r w:rsidR="003A687B" w:rsidRPr="001F3997">
        <w:rPr>
          <w:rFonts w:ascii="Arial" w:hAnsi="Arial" w:cs="Arial"/>
        </w:rPr>
        <w:t xml:space="preserve">Given the </w:t>
      </w:r>
      <w:r w:rsidR="009103CD" w:rsidRPr="001F3997">
        <w:rPr>
          <w:rFonts w:ascii="Arial" w:hAnsi="Arial" w:cs="Arial"/>
        </w:rPr>
        <w:t xml:space="preserve">potentially serious consequences, the BSB has retained a number of prescriptive rules in this </w:t>
      </w:r>
      <w:r w:rsidR="003A687B" w:rsidRPr="001F3997">
        <w:rPr>
          <w:rFonts w:ascii="Arial" w:hAnsi="Arial" w:cs="Arial"/>
        </w:rPr>
        <w:t xml:space="preserve">area, </w:t>
      </w:r>
      <w:r w:rsidR="009103CD" w:rsidRPr="001F3997">
        <w:rPr>
          <w:rFonts w:ascii="Arial" w:hAnsi="Arial" w:cs="Arial"/>
        </w:rPr>
        <w:t>to ensure that both barristers and clients understand what is expected</w:t>
      </w:r>
      <w:r w:rsidR="00350E46" w:rsidRPr="001F3997">
        <w:rPr>
          <w:rFonts w:ascii="Arial" w:hAnsi="Arial" w:cs="Arial"/>
        </w:rPr>
        <w:t xml:space="preserve">.  </w:t>
      </w:r>
      <w:r w:rsidR="00AA3644" w:rsidRPr="001F3997">
        <w:rPr>
          <w:rFonts w:ascii="Arial" w:hAnsi="Arial" w:cs="Arial"/>
        </w:rPr>
        <w:t>Rule</w:t>
      </w:r>
      <w:r w:rsidR="000C3A26" w:rsidRPr="001F3997">
        <w:rPr>
          <w:rFonts w:ascii="Arial" w:hAnsi="Arial" w:cs="Arial"/>
        </w:rPr>
        <w:t>s</w:t>
      </w:r>
      <w:r w:rsidR="00DD6860" w:rsidRPr="001F3997">
        <w:rPr>
          <w:rFonts w:ascii="Arial" w:hAnsi="Arial" w:cs="Arial"/>
        </w:rPr>
        <w:t xml:space="preserve"> </w:t>
      </w:r>
      <w:r w:rsidR="000C3A26" w:rsidRPr="001F3997">
        <w:rPr>
          <w:rFonts w:ascii="Arial" w:hAnsi="Arial" w:cs="Arial"/>
        </w:rPr>
        <w:t>C</w:t>
      </w:r>
      <w:r w:rsidR="00DD6860" w:rsidRPr="001F3997">
        <w:rPr>
          <w:rFonts w:ascii="Arial" w:hAnsi="Arial" w:cs="Arial"/>
        </w:rPr>
        <w:t xml:space="preserve">25 – 26 </w:t>
      </w:r>
      <w:r w:rsidR="009103CD" w:rsidRPr="001F3997">
        <w:rPr>
          <w:rFonts w:ascii="Arial" w:hAnsi="Arial" w:cs="Arial"/>
        </w:rPr>
        <w:t>in the Code of Conduct section of the BSB Handbook outline</w:t>
      </w:r>
      <w:r w:rsidR="00AA3644" w:rsidRPr="001F3997">
        <w:rPr>
          <w:rFonts w:ascii="Arial" w:hAnsi="Arial" w:cs="Arial"/>
        </w:rPr>
        <w:t xml:space="preserve"> </w:t>
      </w:r>
      <w:r w:rsidR="00194872" w:rsidRPr="001F3997">
        <w:rPr>
          <w:rFonts w:ascii="Arial" w:hAnsi="Arial" w:cs="Arial"/>
        </w:rPr>
        <w:t>the situations whe</w:t>
      </w:r>
      <w:r w:rsidR="009103CD" w:rsidRPr="001F3997">
        <w:rPr>
          <w:rFonts w:ascii="Arial" w:hAnsi="Arial" w:cs="Arial"/>
        </w:rPr>
        <w:t>re</w:t>
      </w:r>
      <w:r w:rsidR="00194872" w:rsidRPr="001F3997">
        <w:rPr>
          <w:rFonts w:ascii="Arial" w:hAnsi="Arial" w:cs="Arial"/>
        </w:rPr>
        <w:t xml:space="preserve"> a barrister is either entitled </w:t>
      </w:r>
      <w:r w:rsidR="00472B6F" w:rsidRPr="001F3997">
        <w:rPr>
          <w:rFonts w:ascii="Arial" w:hAnsi="Arial" w:cs="Arial"/>
        </w:rPr>
        <w:t xml:space="preserve">to </w:t>
      </w:r>
      <w:r w:rsidR="00194872" w:rsidRPr="001F3997">
        <w:rPr>
          <w:rFonts w:ascii="Arial" w:hAnsi="Arial" w:cs="Arial"/>
        </w:rPr>
        <w:t xml:space="preserve">or </w:t>
      </w:r>
      <w:r w:rsidR="00472B6F" w:rsidRPr="001F3997">
        <w:rPr>
          <w:rFonts w:ascii="Arial" w:hAnsi="Arial" w:cs="Arial"/>
        </w:rPr>
        <w:t>obligated to s</w:t>
      </w:r>
      <w:r w:rsidR="005112E5" w:rsidRPr="001F3997">
        <w:rPr>
          <w:rFonts w:ascii="Arial" w:hAnsi="Arial" w:cs="Arial"/>
        </w:rPr>
        <w:t xml:space="preserve">top representing a client.  </w:t>
      </w:r>
      <w:r w:rsidR="003C0352" w:rsidRPr="001F3997">
        <w:rPr>
          <w:rFonts w:ascii="Arial" w:hAnsi="Arial" w:cs="Arial"/>
        </w:rPr>
        <w:t xml:space="preserve">The </w:t>
      </w:r>
      <w:r w:rsidR="00DD6860" w:rsidRPr="001F3997">
        <w:rPr>
          <w:rFonts w:ascii="Arial" w:hAnsi="Arial" w:cs="Arial"/>
        </w:rPr>
        <w:t xml:space="preserve">associated </w:t>
      </w:r>
      <w:r w:rsidR="00D877B5" w:rsidRPr="001F3997">
        <w:rPr>
          <w:rFonts w:ascii="Arial" w:hAnsi="Arial" w:cs="Arial"/>
        </w:rPr>
        <w:t>guidance</w:t>
      </w:r>
      <w:r w:rsidR="00DD6860" w:rsidRPr="001F3997">
        <w:rPr>
          <w:rFonts w:ascii="Arial" w:hAnsi="Arial" w:cs="Arial"/>
        </w:rPr>
        <w:t xml:space="preserve"> </w:t>
      </w:r>
      <w:r w:rsidR="003C0352" w:rsidRPr="001F3997">
        <w:rPr>
          <w:rFonts w:ascii="Arial" w:hAnsi="Arial" w:cs="Arial"/>
        </w:rPr>
        <w:t xml:space="preserve">at gC83 – 87 </w:t>
      </w:r>
      <w:r w:rsidR="005112E5" w:rsidRPr="001F3997">
        <w:rPr>
          <w:rFonts w:ascii="Arial" w:hAnsi="Arial" w:cs="Arial"/>
        </w:rPr>
        <w:t xml:space="preserve">provides </w:t>
      </w:r>
      <w:r w:rsidR="003C0352" w:rsidRPr="001F3997">
        <w:rPr>
          <w:rFonts w:ascii="Arial" w:hAnsi="Arial" w:cs="Arial"/>
        </w:rPr>
        <w:t xml:space="preserve">examples of when it would be appropriate </w:t>
      </w:r>
      <w:r w:rsidR="003F0FBD" w:rsidRPr="001F3997">
        <w:rPr>
          <w:rFonts w:ascii="Arial" w:hAnsi="Arial" w:cs="Arial"/>
        </w:rPr>
        <w:t xml:space="preserve">for a barrister to </w:t>
      </w:r>
      <w:r w:rsidR="003C0352" w:rsidRPr="001F3997">
        <w:rPr>
          <w:rFonts w:ascii="Arial" w:hAnsi="Arial" w:cs="Arial"/>
        </w:rPr>
        <w:t>return instructions</w:t>
      </w:r>
      <w:r w:rsidR="005112E5" w:rsidRPr="001F3997">
        <w:rPr>
          <w:rFonts w:ascii="Arial" w:hAnsi="Arial" w:cs="Arial"/>
        </w:rPr>
        <w:t xml:space="preserve"> and what other factors they should consider when deciding whether or not to do so.</w:t>
      </w:r>
      <w:r w:rsidR="002A579C" w:rsidRPr="001F3997">
        <w:rPr>
          <w:rFonts w:ascii="Arial" w:hAnsi="Arial" w:cs="Arial"/>
        </w:rPr>
        <w:t xml:space="preserve">  Guidance, while not </w:t>
      </w:r>
      <w:r w:rsidR="009103CD" w:rsidRPr="001F3997">
        <w:rPr>
          <w:rFonts w:ascii="Arial" w:hAnsi="Arial" w:cs="Arial"/>
        </w:rPr>
        <w:t>mandatory</w:t>
      </w:r>
      <w:r w:rsidR="00AC0109" w:rsidRPr="001F3997">
        <w:rPr>
          <w:rFonts w:ascii="Arial" w:hAnsi="Arial" w:cs="Arial"/>
        </w:rPr>
        <w:t xml:space="preserve">, gives a clear steer as to the wider considerations a barrister should have </w:t>
      </w:r>
      <w:r w:rsidR="00157D5B" w:rsidRPr="001F3997">
        <w:rPr>
          <w:rFonts w:ascii="Arial" w:hAnsi="Arial" w:cs="Arial"/>
        </w:rPr>
        <w:t xml:space="preserve">in mind </w:t>
      </w:r>
      <w:r w:rsidR="00AC0109" w:rsidRPr="001F3997">
        <w:rPr>
          <w:rFonts w:ascii="Arial" w:hAnsi="Arial" w:cs="Arial"/>
        </w:rPr>
        <w:t xml:space="preserve">when applying a rule to their own circumstances.  </w:t>
      </w:r>
    </w:p>
    <w:p w:rsidR="005112E5" w:rsidRPr="001F3997" w:rsidRDefault="005112E5" w:rsidP="001F3997">
      <w:pPr>
        <w:pStyle w:val="ListParagraph"/>
        <w:jc w:val="both"/>
        <w:rPr>
          <w:rFonts w:ascii="Arial" w:hAnsi="Arial" w:cs="Arial"/>
        </w:rPr>
      </w:pPr>
    </w:p>
    <w:p w:rsidR="00157D5B" w:rsidRPr="001F3997" w:rsidRDefault="00661229" w:rsidP="001F3997">
      <w:pPr>
        <w:pStyle w:val="ListParagraph"/>
        <w:numPr>
          <w:ilvl w:val="0"/>
          <w:numId w:val="11"/>
        </w:numPr>
        <w:jc w:val="both"/>
        <w:rPr>
          <w:rFonts w:ascii="Arial" w:hAnsi="Arial" w:cs="Arial"/>
        </w:rPr>
      </w:pPr>
      <w:r w:rsidRPr="001F3997">
        <w:rPr>
          <w:rFonts w:ascii="Arial" w:hAnsi="Arial" w:cs="Arial"/>
        </w:rPr>
        <w:t xml:space="preserve">The </w:t>
      </w:r>
      <w:r w:rsidR="00472B6F" w:rsidRPr="001F3997">
        <w:rPr>
          <w:rFonts w:ascii="Arial" w:hAnsi="Arial" w:cs="Arial"/>
        </w:rPr>
        <w:t xml:space="preserve">current </w:t>
      </w:r>
      <w:r w:rsidRPr="001F3997">
        <w:rPr>
          <w:rFonts w:ascii="Arial" w:hAnsi="Arial" w:cs="Arial"/>
        </w:rPr>
        <w:t xml:space="preserve">guidance at gC87 states that a </w:t>
      </w:r>
      <w:r w:rsidR="00A45618" w:rsidRPr="001F3997">
        <w:rPr>
          <w:rFonts w:ascii="Arial" w:hAnsi="Arial" w:cs="Arial"/>
        </w:rPr>
        <w:t>barrister who</w:t>
      </w:r>
      <w:r w:rsidR="00DD6860" w:rsidRPr="001F3997">
        <w:rPr>
          <w:rFonts w:ascii="Arial" w:hAnsi="Arial" w:cs="Arial"/>
        </w:rPr>
        <w:t>,</w:t>
      </w:r>
      <w:r w:rsidR="00A45618" w:rsidRPr="001F3997">
        <w:rPr>
          <w:rFonts w:ascii="Arial" w:hAnsi="Arial" w:cs="Arial"/>
        </w:rPr>
        <w:t xml:space="preserve"> having previously agreed a fee</w:t>
      </w:r>
      <w:r w:rsidR="00DD6860" w:rsidRPr="001F3997">
        <w:rPr>
          <w:rFonts w:ascii="Arial" w:hAnsi="Arial" w:cs="Arial"/>
        </w:rPr>
        <w:t>,</w:t>
      </w:r>
      <w:r w:rsidR="00A45618" w:rsidRPr="001F3997">
        <w:rPr>
          <w:rFonts w:ascii="Arial" w:hAnsi="Arial" w:cs="Arial"/>
        </w:rPr>
        <w:t xml:space="preserve"> is made aware of a fundamental change to the basis of their remuneration is to treat that change</w:t>
      </w:r>
      <w:r w:rsidRPr="001F3997">
        <w:rPr>
          <w:rFonts w:ascii="Arial" w:hAnsi="Arial" w:cs="Arial"/>
        </w:rPr>
        <w:t xml:space="preserve"> </w:t>
      </w:r>
      <w:r w:rsidR="00A45618" w:rsidRPr="001F3997">
        <w:rPr>
          <w:rFonts w:ascii="Arial" w:hAnsi="Arial" w:cs="Arial"/>
        </w:rPr>
        <w:t>as amounting to a withdrawal of instructions by the client.</w:t>
      </w:r>
      <w:r w:rsidR="001D7954" w:rsidRPr="001F3997">
        <w:rPr>
          <w:rFonts w:ascii="Arial" w:hAnsi="Arial" w:cs="Arial"/>
        </w:rPr>
        <w:t xml:space="preserve">  </w:t>
      </w:r>
      <w:r w:rsidR="009103CD" w:rsidRPr="001F3997">
        <w:rPr>
          <w:rFonts w:ascii="Arial" w:hAnsi="Arial" w:cs="Arial"/>
        </w:rPr>
        <w:t>Generally, w</w:t>
      </w:r>
      <w:r w:rsidR="001D7954" w:rsidRPr="001F3997">
        <w:rPr>
          <w:rFonts w:ascii="Arial" w:hAnsi="Arial" w:cs="Arial"/>
        </w:rPr>
        <w:t>hen a client withdraws</w:t>
      </w:r>
      <w:r w:rsidR="00191114" w:rsidRPr="001F3997">
        <w:rPr>
          <w:rFonts w:ascii="Arial" w:hAnsi="Arial" w:cs="Arial"/>
        </w:rPr>
        <w:t xml:space="preserve"> instructions this means that they have either decided to engage alternative representation, represent themselves or have decided to end their case.  </w:t>
      </w:r>
      <w:r w:rsidR="00472B6F" w:rsidRPr="001F3997">
        <w:rPr>
          <w:rFonts w:ascii="Arial" w:hAnsi="Arial" w:cs="Arial"/>
        </w:rPr>
        <w:t>If instructions are withd</w:t>
      </w:r>
      <w:r w:rsidR="00191114" w:rsidRPr="001F3997">
        <w:rPr>
          <w:rFonts w:ascii="Arial" w:hAnsi="Arial" w:cs="Arial"/>
        </w:rPr>
        <w:t xml:space="preserve">rawn the </w:t>
      </w:r>
      <w:r w:rsidR="00472B6F" w:rsidRPr="001F3997">
        <w:rPr>
          <w:rFonts w:ascii="Arial" w:hAnsi="Arial" w:cs="Arial"/>
        </w:rPr>
        <w:t xml:space="preserve">barrister need not consider </w:t>
      </w:r>
      <w:r w:rsidR="009103CD" w:rsidRPr="001F3997">
        <w:rPr>
          <w:rFonts w:ascii="Arial" w:hAnsi="Arial" w:cs="Arial"/>
        </w:rPr>
        <w:t>his professional obligations any further</w:t>
      </w:r>
      <w:r w:rsidR="00F56DC8" w:rsidRPr="001F3997">
        <w:rPr>
          <w:rFonts w:ascii="Arial" w:hAnsi="Arial" w:cs="Arial"/>
        </w:rPr>
        <w:t xml:space="preserve">.  </w:t>
      </w:r>
      <w:r w:rsidR="00A45618" w:rsidRPr="001F3997">
        <w:rPr>
          <w:rFonts w:ascii="Arial" w:hAnsi="Arial" w:cs="Arial"/>
        </w:rPr>
        <w:t>T</w:t>
      </w:r>
      <w:r w:rsidRPr="001F3997">
        <w:rPr>
          <w:rFonts w:ascii="Arial" w:hAnsi="Arial" w:cs="Arial"/>
        </w:rPr>
        <w:t xml:space="preserve">he presumption underlying </w:t>
      </w:r>
      <w:r w:rsidR="00D877B5" w:rsidRPr="001F3997">
        <w:rPr>
          <w:rFonts w:ascii="Arial" w:hAnsi="Arial" w:cs="Arial"/>
        </w:rPr>
        <w:t>gC87</w:t>
      </w:r>
      <w:r w:rsidR="00EE53F4" w:rsidRPr="001F3997">
        <w:rPr>
          <w:rFonts w:ascii="Arial" w:hAnsi="Arial" w:cs="Arial"/>
        </w:rPr>
        <w:t xml:space="preserve"> </w:t>
      </w:r>
      <w:r w:rsidRPr="001F3997">
        <w:rPr>
          <w:rFonts w:ascii="Arial" w:hAnsi="Arial" w:cs="Arial"/>
        </w:rPr>
        <w:t xml:space="preserve">is </w:t>
      </w:r>
      <w:r w:rsidR="00A45618" w:rsidRPr="001F3997">
        <w:rPr>
          <w:rFonts w:ascii="Arial" w:hAnsi="Arial" w:cs="Arial"/>
        </w:rPr>
        <w:t xml:space="preserve">that </w:t>
      </w:r>
      <w:r w:rsidR="00C231B3" w:rsidRPr="001F3997">
        <w:rPr>
          <w:rFonts w:ascii="Arial" w:hAnsi="Arial" w:cs="Arial"/>
        </w:rPr>
        <w:t xml:space="preserve">the </w:t>
      </w:r>
      <w:r w:rsidR="00905E29" w:rsidRPr="001F3997">
        <w:rPr>
          <w:rFonts w:ascii="Arial" w:hAnsi="Arial" w:cs="Arial"/>
        </w:rPr>
        <w:t xml:space="preserve">fundamental change to </w:t>
      </w:r>
      <w:r w:rsidR="00CA7710" w:rsidRPr="001F3997">
        <w:rPr>
          <w:rFonts w:ascii="Arial" w:hAnsi="Arial" w:cs="Arial"/>
        </w:rPr>
        <w:t>counsel’s</w:t>
      </w:r>
      <w:r w:rsidR="00905E29" w:rsidRPr="001F3997">
        <w:rPr>
          <w:rFonts w:ascii="Arial" w:hAnsi="Arial" w:cs="Arial"/>
        </w:rPr>
        <w:t xml:space="preserve"> remuneration </w:t>
      </w:r>
      <w:r w:rsidR="00C231B3" w:rsidRPr="001F3997">
        <w:rPr>
          <w:rFonts w:ascii="Arial" w:hAnsi="Arial" w:cs="Arial"/>
        </w:rPr>
        <w:t xml:space="preserve">is directly </w:t>
      </w:r>
      <w:r w:rsidR="00A45618" w:rsidRPr="001F3997">
        <w:rPr>
          <w:rFonts w:ascii="Arial" w:hAnsi="Arial" w:cs="Arial"/>
        </w:rPr>
        <w:t>attribut</w:t>
      </w:r>
      <w:r w:rsidR="00C231B3" w:rsidRPr="001F3997">
        <w:rPr>
          <w:rFonts w:ascii="Arial" w:hAnsi="Arial" w:cs="Arial"/>
        </w:rPr>
        <w:t xml:space="preserve">able to the </w:t>
      </w:r>
      <w:r w:rsidRPr="001F3997">
        <w:rPr>
          <w:rFonts w:ascii="Arial" w:hAnsi="Arial" w:cs="Arial"/>
        </w:rPr>
        <w:t>client</w:t>
      </w:r>
      <w:r w:rsidR="00C231B3" w:rsidRPr="001F3997">
        <w:rPr>
          <w:rFonts w:ascii="Arial" w:hAnsi="Arial" w:cs="Arial"/>
        </w:rPr>
        <w:t>.  Therefore p</w:t>
      </w:r>
      <w:r w:rsidR="0024715B" w:rsidRPr="001F3997">
        <w:rPr>
          <w:rFonts w:ascii="Arial" w:hAnsi="Arial" w:cs="Arial"/>
        </w:rPr>
        <w:t>rovided th</w:t>
      </w:r>
      <w:r w:rsidR="00C231B3" w:rsidRPr="001F3997">
        <w:rPr>
          <w:rFonts w:ascii="Arial" w:hAnsi="Arial" w:cs="Arial"/>
        </w:rPr>
        <w:t xml:space="preserve">at the </w:t>
      </w:r>
      <w:r w:rsidR="0024715B" w:rsidRPr="001F3997">
        <w:rPr>
          <w:rFonts w:ascii="Arial" w:hAnsi="Arial" w:cs="Arial"/>
        </w:rPr>
        <w:t xml:space="preserve">client </w:t>
      </w:r>
      <w:r w:rsidR="00C231B3" w:rsidRPr="001F3997">
        <w:rPr>
          <w:rFonts w:ascii="Arial" w:hAnsi="Arial" w:cs="Arial"/>
        </w:rPr>
        <w:t xml:space="preserve">has been </w:t>
      </w:r>
      <w:r w:rsidR="0024715B" w:rsidRPr="001F3997">
        <w:rPr>
          <w:rFonts w:ascii="Arial" w:hAnsi="Arial" w:cs="Arial"/>
        </w:rPr>
        <w:t xml:space="preserve">properly informed of the </w:t>
      </w:r>
      <w:r w:rsidR="003C0352" w:rsidRPr="001F3997">
        <w:rPr>
          <w:rFonts w:ascii="Arial" w:hAnsi="Arial" w:cs="Arial"/>
        </w:rPr>
        <w:t xml:space="preserve">potential </w:t>
      </w:r>
      <w:r w:rsidR="0024715B" w:rsidRPr="001F3997">
        <w:rPr>
          <w:rFonts w:ascii="Arial" w:hAnsi="Arial" w:cs="Arial"/>
        </w:rPr>
        <w:t xml:space="preserve">consequences of such an action any resulting prejudice suffered </w:t>
      </w:r>
      <w:r w:rsidR="00EE53F4" w:rsidRPr="001F3997">
        <w:rPr>
          <w:rFonts w:ascii="Arial" w:hAnsi="Arial" w:cs="Arial"/>
        </w:rPr>
        <w:t xml:space="preserve">would be a </w:t>
      </w:r>
      <w:r w:rsidR="00CA7710" w:rsidRPr="001F3997">
        <w:rPr>
          <w:rFonts w:ascii="Arial" w:hAnsi="Arial" w:cs="Arial"/>
        </w:rPr>
        <w:t xml:space="preserve">direct result </w:t>
      </w:r>
      <w:r w:rsidR="00EE53F4" w:rsidRPr="001F3997">
        <w:rPr>
          <w:rFonts w:ascii="Arial" w:hAnsi="Arial" w:cs="Arial"/>
        </w:rPr>
        <w:t>of their</w:t>
      </w:r>
      <w:r w:rsidR="00CA7710" w:rsidRPr="001F3997">
        <w:rPr>
          <w:rFonts w:ascii="Arial" w:hAnsi="Arial" w:cs="Arial"/>
        </w:rPr>
        <w:t xml:space="preserve"> own</w:t>
      </w:r>
      <w:r w:rsidR="0005010B" w:rsidRPr="001F3997">
        <w:rPr>
          <w:rFonts w:ascii="Arial" w:hAnsi="Arial" w:cs="Arial"/>
        </w:rPr>
        <w:t xml:space="preserve"> informed action</w:t>
      </w:r>
      <w:r w:rsidR="00EE53F4" w:rsidRPr="001F3997">
        <w:rPr>
          <w:rFonts w:ascii="Arial" w:hAnsi="Arial" w:cs="Arial"/>
        </w:rPr>
        <w:t>.</w:t>
      </w:r>
    </w:p>
    <w:p w:rsidR="00157D5B" w:rsidRPr="001F3997" w:rsidRDefault="00EE53F4" w:rsidP="001F3997">
      <w:pPr>
        <w:pStyle w:val="ListParagraph"/>
        <w:jc w:val="both"/>
        <w:rPr>
          <w:rFonts w:ascii="Arial" w:hAnsi="Arial" w:cs="Arial"/>
        </w:rPr>
      </w:pPr>
      <w:r w:rsidRPr="001F3997">
        <w:rPr>
          <w:rFonts w:ascii="Arial" w:hAnsi="Arial" w:cs="Arial"/>
        </w:rPr>
        <w:t xml:space="preserve"> </w:t>
      </w:r>
    </w:p>
    <w:p w:rsidR="00CA7710" w:rsidRPr="001F3997" w:rsidRDefault="00157D5B" w:rsidP="001F3997">
      <w:pPr>
        <w:pStyle w:val="ListParagraph"/>
        <w:numPr>
          <w:ilvl w:val="0"/>
          <w:numId w:val="11"/>
        </w:numPr>
        <w:jc w:val="both"/>
        <w:rPr>
          <w:rFonts w:ascii="Arial" w:hAnsi="Arial" w:cs="Arial"/>
        </w:rPr>
      </w:pPr>
      <w:r w:rsidRPr="001F3997">
        <w:rPr>
          <w:rFonts w:ascii="Arial" w:hAnsi="Arial" w:cs="Arial"/>
        </w:rPr>
        <w:t>Whilst</w:t>
      </w:r>
      <w:r w:rsidR="00B92C71" w:rsidRPr="001F3997">
        <w:rPr>
          <w:rFonts w:ascii="Arial" w:hAnsi="Arial" w:cs="Arial"/>
        </w:rPr>
        <w:t xml:space="preserve"> a barrister</w:t>
      </w:r>
      <w:r w:rsidRPr="001F3997">
        <w:rPr>
          <w:rFonts w:ascii="Arial" w:hAnsi="Arial" w:cs="Arial"/>
        </w:rPr>
        <w:t>’</w:t>
      </w:r>
      <w:r w:rsidR="00B92C71" w:rsidRPr="001F3997">
        <w:rPr>
          <w:rFonts w:ascii="Arial" w:hAnsi="Arial" w:cs="Arial"/>
        </w:rPr>
        <w:t xml:space="preserve">s fee </w:t>
      </w:r>
      <w:r w:rsidRPr="001F3997">
        <w:rPr>
          <w:rFonts w:ascii="Arial" w:hAnsi="Arial" w:cs="Arial"/>
        </w:rPr>
        <w:t>may</w:t>
      </w:r>
      <w:r w:rsidR="00B92C71" w:rsidRPr="001F3997">
        <w:rPr>
          <w:rFonts w:ascii="Arial" w:hAnsi="Arial" w:cs="Arial"/>
        </w:rPr>
        <w:t xml:space="preserve"> be funded </w:t>
      </w:r>
      <w:r w:rsidRPr="001F3997">
        <w:rPr>
          <w:rFonts w:ascii="Arial" w:hAnsi="Arial" w:cs="Arial"/>
        </w:rPr>
        <w:t xml:space="preserve">directly </w:t>
      </w:r>
      <w:r w:rsidR="00B92C71" w:rsidRPr="001F3997">
        <w:rPr>
          <w:rFonts w:ascii="Arial" w:hAnsi="Arial" w:cs="Arial"/>
        </w:rPr>
        <w:t>by the lay client</w:t>
      </w:r>
      <w:r w:rsidRPr="001F3997">
        <w:rPr>
          <w:rFonts w:ascii="Arial" w:hAnsi="Arial" w:cs="Arial"/>
        </w:rPr>
        <w:t>, in many cases this will be paid</w:t>
      </w:r>
      <w:r w:rsidR="00B92C71" w:rsidRPr="001F3997">
        <w:rPr>
          <w:rFonts w:ascii="Arial" w:hAnsi="Arial" w:cs="Arial"/>
        </w:rPr>
        <w:t xml:space="preserve"> by a third party funder.  Third party funders include, for example, insurance companies, special interest groups and the Legal Aid Agency.  </w:t>
      </w:r>
      <w:r w:rsidR="0005010B" w:rsidRPr="001F3997">
        <w:rPr>
          <w:rFonts w:ascii="Arial" w:hAnsi="Arial" w:cs="Arial"/>
        </w:rPr>
        <w:t xml:space="preserve">The </w:t>
      </w:r>
      <w:r w:rsidR="0005010B" w:rsidRPr="001F3997">
        <w:rPr>
          <w:rFonts w:ascii="Arial" w:hAnsi="Arial" w:cs="Arial"/>
        </w:rPr>
        <w:lastRenderedPageBreak/>
        <w:t>presumption behind gC87 does not reflect the position where a decision is made by a third party funder</w:t>
      </w:r>
      <w:r w:rsidR="00F56DC8" w:rsidRPr="001F3997">
        <w:rPr>
          <w:rFonts w:ascii="Arial" w:hAnsi="Arial" w:cs="Arial"/>
        </w:rPr>
        <w:t xml:space="preserve">, who may not </w:t>
      </w:r>
      <w:r w:rsidR="009103CD" w:rsidRPr="001F3997">
        <w:rPr>
          <w:rFonts w:ascii="Arial" w:hAnsi="Arial" w:cs="Arial"/>
        </w:rPr>
        <w:t>consult</w:t>
      </w:r>
      <w:r w:rsidR="00F56DC8" w:rsidRPr="001F3997">
        <w:rPr>
          <w:rFonts w:ascii="Arial" w:hAnsi="Arial" w:cs="Arial"/>
        </w:rPr>
        <w:t xml:space="preserve"> the lay </w:t>
      </w:r>
      <w:r w:rsidR="00B92C71" w:rsidRPr="001F3997">
        <w:rPr>
          <w:rFonts w:ascii="Arial" w:hAnsi="Arial" w:cs="Arial"/>
        </w:rPr>
        <w:t>client</w:t>
      </w:r>
      <w:r w:rsidR="00F56DC8" w:rsidRPr="001F3997">
        <w:rPr>
          <w:rFonts w:ascii="Arial" w:hAnsi="Arial" w:cs="Arial"/>
        </w:rPr>
        <w:t xml:space="preserve"> o</w:t>
      </w:r>
      <w:r w:rsidR="009103CD" w:rsidRPr="001F3997">
        <w:rPr>
          <w:rFonts w:ascii="Arial" w:hAnsi="Arial" w:cs="Arial"/>
        </w:rPr>
        <w:t>n</w:t>
      </w:r>
      <w:r w:rsidR="00F56DC8" w:rsidRPr="001F3997">
        <w:rPr>
          <w:rFonts w:ascii="Arial" w:hAnsi="Arial" w:cs="Arial"/>
        </w:rPr>
        <w:t xml:space="preserve"> that decision</w:t>
      </w:r>
      <w:r w:rsidR="00B92C71" w:rsidRPr="001F3997">
        <w:rPr>
          <w:rFonts w:ascii="Arial" w:hAnsi="Arial" w:cs="Arial"/>
        </w:rPr>
        <w:t>,</w:t>
      </w:r>
      <w:r w:rsidR="0005010B" w:rsidRPr="001F3997">
        <w:rPr>
          <w:rFonts w:ascii="Arial" w:hAnsi="Arial" w:cs="Arial"/>
        </w:rPr>
        <w:t xml:space="preserve"> to make a fundamental change to the basis of the remuneration.  The BSB is concerned that </w:t>
      </w:r>
      <w:r w:rsidR="003C0C37" w:rsidRPr="001F3997">
        <w:rPr>
          <w:rFonts w:ascii="Arial" w:hAnsi="Arial" w:cs="Arial"/>
        </w:rPr>
        <w:t xml:space="preserve">the current guidance does not reflect the </w:t>
      </w:r>
      <w:r w:rsidR="0005010B" w:rsidRPr="001F3997">
        <w:rPr>
          <w:rFonts w:ascii="Arial" w:hAnsi="Arial" w:cs="Arial"/>
        </w:rPr>
        <w:t>risk caused</w:t>
      </w:r>
      <w:r w:rsidR="003C0C37" w:rsidRPr="001F3997">
        <w:rPr>
          <w:rFonts w:ascii="Arial" w:hAnsi="Arial" w:cs="Arial"/>
        </w:rPr>
        <w:t xml:space="preserve"> to the public interest</w:t>
      </w:r>
      <w:r w:rsidR="0005010B" w:rsidRPr="001F3997">
        <w:rPr>
          <w:rFonts w:ascii="Arial" w:hAnsi="Arial" w:cs="Arial"/>
        </w:rPr>
        <w:t xml:space="preserve"> by </w:t>
      </w:r>
      <w:r w:rsidR="00CC3224" w:rsidRPr="001F3997">
        <w:rPr>
          <w:rFonts w:ascii="Arial" w:hAnsi="Arial" w:cs="Arial"/>
        </w:rPr>
        <w:t xml:space="preserve">decisions made by </w:t>
      </w:r>
      <w:r w:rsidR="0005010B" w:rsidRPr="001F3997">
        <w:rPr>
          <w:rFonts w:ascii="Arial" w:hAnsi="Arial" w:cs="Arial"/>
        </w:rPr>
        <w:t>third party funders</w:t>
      </w:r>
      <w:r w:rsidR="003C0C37" w:rsidRPr="001F3997">
        <w:rPr>
          <w:rFonts w:ascii="Arial" w:hAnsi="Arial" w:cs="Arial"/>
        </w:rPr>
        <w:t xml:space="preserve">.  </w:t>
      </w:r>
      <w:r w:rsidRPr="001F3997">
        <w:rPr>
          <w:rFonts w:ascii="Arial" w:hAnsi="Arial" w:cs="Arial"/>
        </w:rPr>
        <w:t>L</w:t>
      </w:r>
      <w:r w:rsidR="00F56DC8" w:rsidRPr="001F3997">
        <w:rPr>
          <w:rFonts w:ascii="Arial" w:hAnsi="Arial" w:cs="Arial"/>
        </w:rPr>
        <w:t>egal proceedings can be a stressful time for clients and a sudden change or loss of representation that impacts on the proceedings adds to that burden</w:t>
      </w:r>
      <w:r w:rsidRPr="001F3997">
        <w:rPr>
          <w:rFonts w:ascii="Arial" w:hAnsi="Arial" w:cs="Arial"/>
        </w:rPr>
        <w:t xml:space="preserve"> and may impact on the client’s ability to access justice</w:t>
      </w:r>
      <w:r w:rsidR="00F56DC8" w:rsidRPr="001F3997">
        <w:rPr>
          <w:rFonts w:ascii="Arial" w:hAnsi="Arial" w:cs="Arial"/>
        </w:rPr>
        <w:t xml:space="preserve">.  </w:t>
      </w:r>
      <w:r w:rsidR="004C78EC" w:rsidRPr="001F3997">
        <w:rPr>
          <w:rFonts w:ascii="Arial" w:hAnsi="Arial" w:cs="Arial"/>
        </w:rPr>
        <w:t xml:space="preserve">The BSB has also considered a barrister’s duties in </w:t>
      </w:r>
      <w:r w:rsidR="00E158CF" w:rsidRPr="001F3997">
        <w:rPr>
          <w:rFonts w:ascii="Arial" w:hAnsi="Arial" w:cs="Arial"/>
        </w:rPr>
        <w:t xml:space="preserve">wider </w:t>
      </w:r>
      <w:r w:rsidR="004C78EC" w:rsidRPr="001F3997">
        <w:rPr>
          <w:rFonts w:ascii="Arial" w:hAnsi="Arial" w:cs="Arial"/>
        </w:rPr>
        <w:t xml:space="preserve">circumstances where a client fails to comply with previously agreed contractual terms (in full or in part).  In both scenarios, it is important that the barrister exercises his professional judgment is deciding how to respond.  </w:t>
      </w:r>
      <w:r w:rsidR="002E27CC" w:rsidRPr="001F3997">
        <w:rPr>
          <w:rFonts w:ascii="Arial" w:hAnsi="Arial" w:cs="Arial"/>
        </w:rPr>
        <w:t>Although the barrister may be entitled to withdraw from the case, doing so</w:t>
      </w:r>
      <w:r w:rsidR="004C78EC" w:rsidRPr="001F3997">
        <w:rPr>
          <w:rFonts w:ascii="Arial" w:hAnsi="Arial" w:cs="Arial"/>
        </w:rPr>
        <w:t xml:space="preserve"> may be disproportionate and cause</w:t>
      </w:r>
      <w:r w:rsidR="00B02E3B" w:rsidRPr="001F3997">
        <w:rPr>
          <w:rFonts w:ascii="Arial" w:hAnsi="Arial" w:cs="Arial"/>
        </w:rPr>
        <w:t xml:space="preserve"> detriment to the client, the administration of justice or third parties.</w:t>
      </w:r>
    </w:p>
    <w:p w:rsidR="006C3773" w:rsidRPr="001F3997" w:rsidRDefault="006C3773" w:rsidP="001F3997">
      <w:pPr>
        <w:pStyle w:val="ListParagraph"/>
        <w:jc w:val="both"/>
        <w:rPr>
          <w:rFonts w:ascii="Arial" w:hAnsi="Arial" w:cs="Arial"/>
        </w:rPr>
      </w:pPr>
    </w:p>
    <w:p w:rsidR="006C3773" w:rsidRPr="001F3997" w:rsidRDefault="006C3773" w:rsidP="001F3997">
      <w:pPr>
        <w:pStyle w:val="ListParagraph"/>
        <w:numPr>
          <w:ilvl w:val="0"/>
          <w:numId w:val="11"/>
        </w:numPr>
        <w:jc w:val="both"/>
        <w:rPr>
          <w:rFonts w:ascii="Arial" w:hAnsi="Arial" w:cs="Arial"/>
        </w:rPr>
      </w:pPr>
      <w:r w:rsidRPr="001F3997">
        <w:rPr>
          <w:rFonts w:ascii="Arial" w:hAnsi="Arial" w:cs="Arial"/>
        </w:rPr>
        <w:t xml:space="preserve">Barristers who enter into contracts for the supply of services are entitled, as would any other professional providing a service to the public, to reconsider their position if the agreed terms of that contract are changed.  It would be unfair for barristers to be obligated in all circumstances to continue to represent clients if the terms of the contract between them had been unilaterally changed.  In </w:t>
      </w:r>
      <w:r w:rsidR="00C83701" w:rsidRPr="001F3997">
        <w:rPr>
          <w:rFonts w:ascii="Arial" w:hAnsi="Arial" w:cs="Arial"/>
        </w:rPr>
        <w:t>most</w:t>
      </w:r>
      <w:r w:rsidRPr="001F3997">
        <w:rPr>
          <w:rFonts w:ascii="Arial" w:hAnsi="Arial" w:cs="Arial"/>
        </w:rPr>
        <w:t xml:space="preserve"> cases, if the contractual terms were clear, the revised guidance will not prevent instructions being returned.  Only in cases whe</w:t>
      </w:r>
      <w:r w:rsidR="00C83701" w:rsidRPr="001F3997">
        <w:rPr>
          <w:rFonts w:ascii="Arial" w:hAnsi="Arial" w:cs="Arial"/>
        </w:rPr>
        <w:t>re</w:t>
      </w:r>
      <w:r w:rsidRPr="001F3997">
        <w:rPr>
          <w:rFonts w:ascii="Arial" w:hAnsi="Arial" w:cs="Arial"/>
        </w:rPr>
        <w:t xml:space="preserve"> returning instructions will result in a disproportionate impact on the lay client, administration of justice or public interest will it be necessary for a barrister to continue</w:t>
      </w:r>
      <w:r w:rsidR="00C83701" w:rsidRPr="001F3997">
        <w:rPr>
          <w:rFonts w:ascii="Arial" w:hAnsi="Arial" w:cs="Arial"/>
        </w:rPr>
        <w:t>.</w:t>
      </w:r>
    </w:p>
    <w:p w:rsidR="00CC3224" w:rsidRPr="001F3997" w:rsidRDefault="00CC3224" w:rsidP="001F3997">
      <w:pPr>
        <w:pStyle w:val="ListParagraph"/>
        <w:jc w:val="both"/>
        <w:rPr>
          <w:rFonts w:ascii="Arial" w:hAnsi="Arial" w:cs="Arial"/>
        </w:rPr>
      </w:pPr>
    </w:p>
    <w:p w:rsidR="000004D6" w:rsidRPr="001F3997" w:rsidRDefault="0005010B" w:rsidP="001F3997">
      <w:pPr>
        <w:pStyle w:val="ListParagraph"/>
        <w:numPr>
          <w:ilvl w:val="0"/>
          <w:numId w:val="11"/>
        </w:numPr>
        <w:jc w:val="both"/>
        <w:rPr>
          <w:rFonts w:ascii="Arial" w:hAnsi="Arial" w:cs="Arial"/>
        </w:rPr>
      </w:pPr>
      <w:r w:rsidRPr="001F3997">
        <w:rPr>
          <w:rFonts w:ascii="Arial" w:hAnsi="Arial" w:cs="Arial"/>
        </w:rPr>
        <w:t xml:space="preserve">The BSB is required by </w:t>
      </w:r>
      <w:r w:rsidR="00C138FB" w:rsidRPr="001F3997">
        <w:rPr>
          <w:rFonts w:ascii="Arial" w:hAnsi="Arial" w:cs="Arial"/>
        </w:rPr>
        <w:t>the</w:t>
      </w:r>
      <w:r w:rsidRPr="001F3997">
        <w:rPr>
          <w:rFonts w:ascii="Arial" w:hAnsi="Arial" w:cs="Arial"/>
        </w:rPr>
        <w:t xml:space="preserve"> </w:t>
      </w:r>
      <w:r w:rsidR="00CA7710" w:rsidRPr="001F3997">
        <w:rPr>
          <w:rFonts w:ascii="Arial" w:hAnsi="Arial" w:cs="Arial"/>
        </w:rPr>
        <w:t xml:space="preserve">regulatory objectives </w:t>
      </w:r>
      <w:r w:rsidR="00C00136" w:rsidRPr="001F3997">
        <w:rPr>
          <w:rFonts w:ascii="Arial" w:hAnsi="Arial" w:cs="Arial"/>
        </w:rPr>
        <w:t>of the Legal Services Act 2007</w:t>
      </w:r>
      <w:r w:rsidR="00CA7710" w:rsidRPr="001F3997">
        <w:rPr>
          <w:rFonts w:ascii="Arial" w:hAnsi="Arial" w:cs="Arial"/>
        </w:rPr>
        <w:t xml:space="preserve">, amongst other things, </w:t>
      </w:r>
      <w:r w:rsidR="00C00136" w:rsidRPr="001F3997">
        <w:rPr>
          <w:rFonts w:ascii="Arial" w:hAnsi="Arial" w:cs="Arial"/>
        </w:rPr>
        <w:t xml:space="preserve">to </w:t>
      </w:r>
      <w:r w:rsidR="00CA7710" w:rsidRPr="001F3997">
        <w:rPr>
          <w:rFonts w:ascii="Arial" w:hAnsi="Arial" w:cs="Arial"/>
        </w:rPr>
        <w:t>promote</w:t>
      </w:r>
      <w:r w:rsidR="00F82718" w:rsidRPr="001F3997">
        <w:rPr>
          <w:rFonts w:ascii="Arial" w:hAnsi="Arial" w:cs="Arial"/>
        </w:rPr>
        <w:t xml:space="preserve"> </w:t>
      </w:r>
      <w:r w:rsidR="00CA7710" w:rsidRPr="001F3997">
        <w:rPr>
          <w:rFonts w:ascii="Arial" w:hAnsi="Arial" w:cs="Arial"/>
        </w:rPr>
        <w:t xml:space="preserve">and protect the interests of clients, the rule of law, access to justice, administration of justice and adherence </w:t>
      </w:r>
      <w:r w:rsidR="00C00136" w:rsidRPr="001F3997">
        <w:rPr>
          <w:rFonts w:ascii="Arial" w:hAnsi="Arial" w:cs="Arial"/>
        </w:rPr>
        <w:t xml:space="preserve">by barristers </w:t>
      </w:r>
      <w:r w:rsidR="00CA7710" w:rsidRPr="001F3997">
        <w:rPr>
          <w:rFonts w:ascii="Arial" w:hAnsi="Arial" w:cs="Arial"/>
        </w:rPr>
        <w:t xml:space="preserve">to the professional principles. Depending on the circumstances </w:t>
      </w:r>
      <w:r w:rsidR="000004D6" w:rsidRPr="001F3997">
        <w:rPr>
          <w:rFonts w:ascii="Arial" w:hAnsi="Arial" w:cs="Arial"/>
        </w:rPr>
        <w:t xml:space="preserve">a withdrawal of representation, following a decision made by a third party funder, </w:t>
      </w:r>
      <w:r w:rsidR="00CA7710" w:rsidRPr="001F3997">
        <w:rPr>
          <w:rFonts w:ascii="Arial" w:hAnsi="Arial" w:cs="Arial"/>
        </w:rPr>
        <w:t>may cause serious prejudice not only to the lay client but to other consumers, witnesses, jurors and the admin</w:t>
      </w:r>
      <w:r w:rsidR="000004D6" w:rsidRPr="001F3997">
        <w:rPr>
          <w:rFonts w:ascii="Arial" w:hAnsi="Arial" w:cs="Arial"/>
        </w:rPr>
        <w:t xml:space="preserve">istration of justice as a whole.  The proposed changes to the relevant guidance are intended to ensure that the public interest is adequately protected in circumstances where the person whom the barrister represents is not himself responsible for adversely altering the basis of the barrister’s engagement </w:t>
      </w:r>
      <w:r w:rsidR="00B26DE3" w:rsidRPr="001F3997">
        <w:rPr>
          <w:rFonts w:ascii="Arial" w:hAnsi="Arial" w:cs="Arial"/>
        </w:rPr>
        <w:t xml:space="preserve">and/or where exercising </w:t>
      </w:r>
      <w:r w:rsidR="003C0C37" w:rsidRPr="001F3997">
        <w:rPr>
          <w:rFonts w:ascii="Arial" w:hAnsi="Arial" w:cs="Arial"/>
        </w:rPr>
        <w:t xml:space="preserve">his/her </w:t>
      </w:r>
      <w:r w:rsidR="000004D6" w:rsidRPr="001F3997">
        <w:rPr>
          <w:rFonts w:ascii="Arial" w:hAnsi="Arial" w:cs="Arial"/>
        </w:rPr>
        <w:t xml:space="preserve">right to withdraw </w:t>
      </w:r>
      <w:r w:rsidR="006C04EC" w:rsidRPr="001F3997">
        <w:rPr>
          <w:rFonts w:ascii="Arial" w:hAnsi="Arial" w:cs="Arial"/>
        </w:rPr>
        <w:t xml:space="preserve">may </w:t>
      </w:r>
      <w:r w:rsidR="000004D6" w:rsidRPr="001F3997">
        <w:rPr>
          <w:rFonts w:ascii="Arial" w:hAnsi="Arial" w:cs="Arial"/>
        </w:rPr>
        <w:t>be disproportionate in view of the degree of prejudice to that person and/or to the administration of justice.</w:t>
      </w:r>
    </w:p>
    <w:p w:rsidR="006C3773" w:rsidRPr="001F3997" w:rsidRDefault="006C3773" w:rsidP="001F3997">
      <w:pPr>
        <w:pStyle w:val="ListParagraph"/>
        <w:jc w:val="both"/>
        <w:rPr>
          <w:rFonts w:ascii="Arial" w:hAnsi="Arial" w:cs="Arial"/>
        </w:rPr>
      </w:pPr>
    </w:p>
    <w:p w:rsidR="006C3773" w:rsidRPr="001F3997" w:rsidRDefault="006C3773" w:rsidP="001F3997">
      <w:pPr>
        <w:pStyle w:val="ListParagraph"/>
        <w:numPr>
          <w:ilvl w:val="0"/>
          <w:numId w:val="11"/>
        </w:numPr>
        <w:jc w:val="both"/>
        <w:rPr>
          <w:rFonts w:ascii="Arial" w:hAnsi="Arial" w:cs="Arial"/>
        </w:rPr>
      </w:pPr>
      <w:r w:rsidRPr="001F3997">
        <w:rPr>
          <w:rFonts w:ascii="Arial" w:hAnsi="Arial" w:cs="Arial"/>
        </w:rPr>
        <w:t xml:space="preserve">The revised guidance is intended to protect the client, and the wider public interest, by requiring barristers to consider the wider implications of treating instructions as having been withdrawn.  For example under the current construction of gC87 a barrister can consider their instructions to have been withdrawn and cease to act for a lay client without further consideration.  The revised guidance requires a barrister to consider whether the lay client was responsible for the change or default and </w:t>
      </w:r>
      <w:r w:rsidR="00BD3ECB" w:rsidRPr="001F3997">
        <w:rPr>
          <w:rFonts w:ascii="Arial" w:hAnsi="Arial" w:cs="Arial"/>
        </w:rPr>
        <w:t>whether ceasing to act has any wider implications</w:t>
      </w:r>
      <w:r w:rsidRPr="001F3997">
        <w:rPr>
          <w:rFonts w:ascii="Arial" w:hAnsi="Arial" w:cs="Arial"/>
        </w:rPr>
        <w:t xml:space="preserve">.  This additional consideration does not </w:t>
      </w:r>
      <w:r w:rsidR="0097256A" w:rsidRPr="001F3997">
        <w:rPr>
          <w:rFonts w:ascii="Arial" w:hAnsi="Arial" w:cs="Arial"/>
        </w:rPr>
        <w:t xml:space="preserve">necessarily </w:t>
      </w:r>
      <w:r w:rsidRPr="001F3997">
        <w:rPr>
          <w:rFonts w:ascii="Arial" w:hAnsi="Arial" w:cs="Arial"/>
        </w:rPr>
        <w:t xml:space="preserve">prevent a barrister from returning instructions but it does ensure that </w:t>
      </w:r>
      <w:r w:rsidR="00BD3ECB" w:rsidRPr="001F3997">
        <w:rPr>
          <w:rFonts w:ascii="Arial" w:hAnsi="Arial" w:cs="Arial"/>
        </w:rPr>
        <w:t>all factors relevant to a barrister’s professional duties are part of that decision</w:t>
      </w:r>
      <w:r w:rsidRPr="001F3997">
        <w:rPr>
          <w:rFonts w:ascii="Arial" w:hAnsi="Arial" w:cs="Arial"/>
        </w:rPr>
        <w:t xml:space="preserve">.  </w:t>
      </w:r>
    </w:p>
    <w:p w:rsidR="006C3773" w:rsidRPr="001F3997" w:rsidRDefault="006C3773" w:rsidP="001F3997">
      <w:pPr>
        <w:pStyle w:val="ListParagraph"/>
        <w:jc w:val="both"/>
        <w:rPr>
          <w:rFonts w:ascii="Arial" w:hAnsi="Arial" w:cs="Arial"/>
        </w:rPr>
      </w:pPr>
    </w:p>
    <w:p w:rsidR="006C3773" w:rsidRPr="001F3997" w:rsidRDefault="00BD3ECB" w:rsidP="001F3997">
      <w:pPr>
        <w:pStyle w:val="ListParagraph"/>
        <w:numPr>
          <w:ilvl w:val="0"/>
          <w:numId w:val="11"/>
        </w:numPr>
        <w:jc w:val="both"/>
        <w:rPr>
          <w:rFonts w:ascii="Arial" w:hAnsi="Arial" w:cs="Arial"/>
        </w:rPr>
      </w:pPr>
      <w:r w:rsidRPr="001F3997">
        <w:rPr>
          <w:rFonts w:ascii="Arial" w:hAnsi="Arial" w:cs="Arial"/>
        </w:rPr>
        <w:t>There may be</w:t>
      </w:r>
      <w:r w:rsidR="006C3773" w:rsidRPr="001F3997">
        <w:rPr>
          <w:rFonts w:ascii="Arial" w:hAnsi="Arial" w:cs="Arial"/>
        </w:rPr>
        <w:t xml:space="preserve"> situations where it is not possible for instructions to be returned immediately but it does not necessarily follow that the barrister is then obligated to continue until the case concludes.  It may be that a barrister can undertake necessary residual work to bring a case to a point where those instructions can </w:t>
      </w:r>
      <w:r w:rsidR="006C3773" w:rsidRPr="001F3997">
        <w:rPr>
          <w:rFonts w:ascii="Arial" w:hAnsi="Arial" w:cs="Arial"/>
        </w:rPr>
        <w:lastRenderedPageBreak/>
        <w:t xml:space="preserve">reasonably be returned in accordance with the guidance.  Once </w:t>
      </w:r>
      <w:r w:rsidRPr="001F3997">
        <w:rPr>
          <w:rFonts w:ascii="Arial" w:hAnsi="Arial" w:cs="Arial"/>
        </w:rPr>
        <w:t xml:space="preserve">instructions have been returned, the barrister is not obliged </w:t>
      </w:r>
      <w:r w:rsidR="006C3773" w:rsidRPr="001F3997">
        <w:rPr>
          <w:rFonts w:ascii="Arial" w:hAnsi="Arial" w:cs="Arial"/>
        </w:rPr>
        <w:t xml:space="preserve">to undertake any further action </w:t>
      </w:r>
      <w:r w:rsidRPr="001F3997">
        <w:rPr>
          <w:rFonts w:ascii="Arial" w:hAnsi="Arial" w:cs="Arial"/>
        </w:rPr>
        <w:t xml:space="preserve">on the case, for example </w:t>
      </w:r>
      <w:r w:rsidR="006C3773" w:rsidRPr="001F3997">
        <w:rPr>
          <w:rFonts w:ascii="Arial" w:hAnsi="Arial" w:cs="Arial"/>
        </w:rPr>
        <w:t>to assist the client to secure new representation</w:t>
      </w:r>
      <w:r w:rsidRPr="001F3997">
        <w:rPr>
          <w:rFonts w:ascii="Arial" w:hAnsi="Arial" w:cs="Arial"/>
        </w:rPr>
        <w:t>.</w:t>
      </w:r>
    </w:p>
    <w:p w:rsidR="003D08EA" w:rsidRPr="001F3997" w:rsidRDefault="003D08EA" w:rsidP="001F3997">
      <w:pPr>
        <w:pStyle w:val="ListParagraph"/>
        <w:jc w:val="both"/>
        <w:rPr>
          <w:rFonts w:ascii="Arial" w:hAnsi="Arial" w:cs="Arial"/>
        </w:rPr>
      </w:pPr>
    </w:p>
    <w:p w:rsidR="00FD5D35" w:rsidRPr="001F3997" w:rsidRDefault="00FD5D35" w:rsidP="001F3997">
      <w:pPr>
        <w:jc w:val="both"/>
        <w:rPr>
          <w:rFonts w:ascii="Arial" w:hAnsi="Arial" w:cs="Arial"/>
          <w:b/>
        </w:rPr>
      </w:pPr>
      <w:r w:rsidRPr="001F3997">
        <w:rPr>
          <w:rFonts w:ascii="Arial" w:hAnsi="Arial" w:cs="Arial"/>
          <w:b/>
        </w:rPr>
        <w:t>Proposed amendments</w:t>
      </w:r>
    </w:p>
    <w:p w:rsidR="00144142" w:rsidRPr="001F3997" w:rsidRDefault="00FD5D35" w:rsidP="001F3997">
      <w:pPr>
        <w:pStyle w:val="ListParagraph"/>
        <w:numPr>
          <w:ilvl w:val="0"/>
          <w:numId w:val="11"/>
        </w:numPr>
        <w:jc w:val="both"/>
        <w:rPr>
          <w:rFonts w:ascii="Arial" w:hAnsi="Arial" w:cs="Arial"/>
          <w:i/>
        </w:rPr>
      </w:pPr>
      <w:r w:rsidRPr="001F3997">
        <w:rPr>
          <w:rFonts w:ascii="Arial" w:hAnsi="Arial" w:cs="Arial"/>
        </w:rPr>
        <w:t xml:space="preserve">In line with its regulatory objectives and the risk of prejudice to lay clients and/ or to the administration of justice the BSB proposes to </w:t>
      </w:r>
      <w:r w:rsidR="00BB1536" w:rsidRPr="001F3997">
        <w:rPr>
          <w:rFonts w:ascii="Arial" w:hAnsi="Arial" w:cs="Arial"/>
        </w:rPr>
        <w:t>make</w:t>
      </w:r>
      <w:r w:rsidRPr="001F3997">
        <w:rPr>
          <w:rFonts w:ascii="Arial" w:hAnsi="Arial" w:cs="Arial"/>
        </w:rPr>
        <w:t xml:space="preserve"> the amendm</w:t>
      </w:r>
      <w:r w:rsidR="00AB2D70" w:rsidRPr="001F3997">
        <w:rPr>
          <w:rFonts w:ascii="Arial" w:hAnsi="Arial" w:cs="Arial"/>
        </w:rPr>
        <w:t>en</w:t>
      </w:r>
      <w:r w:rsidRPr="001F3997">
        <w:rPr>
          <w:rFonts w:ascii="Arial" w:hAnsi="Arial" w:cs="Arial"/>
        </w:rPr>
        <w:t>t</w:t>
      </w:r>
      <w:r w:rsidR="00AB2D70" w:rsidRPr="001F3997">
        <w:rPr>
          <w:rFonts w:ascii="Arial" w:hAnsi="Arial" w:cs="Arial"/>
        </w:rPr>
        <w:t>s</w:t>
      </w:r>
      <w:r w:rsidRPr="001F3997">
        <w:rPr>
          <w:rFonts w:ascii="Arial" w:hAnsi="Arial" w:cs="Arial"/>
        </w:rPr>
        <w:t xml:space="preserve"> to the </w:t>
      </w:r>
      <w:r w:rsidR="00BB1536" w:rsidRPr="001F3997">
        <w:rPr>
          <w:rFonts w:ascii="Arial" w:hAnsi="Arial" w:cs="Arial"/>
        </w:rPr>
        <w:t>Handbook</w:t>
      </w:r>
      <w:r w:rsidRPr="001F3997">
        <w:rPr>
          <w:rFonts w:ascii="Arial" w:hAnsi="Arial" w:cs="Arial"/>
        </w:rPr>
        <w:t xml:space="preserve"> </w:t>
      </w:r>
      <w:r w:rsidR="00B8724A" w:rsidRPr="001F3997">
        <w:rPr>
          <w:rFonts w:ascii="Arial" w:hAnsi="Arial" w:cs="Arial"/>
        </w:rPr>
        <w:t xml:space="preserve">guidance </w:t>
      </w:r>
      <w:r w:rsidRPr="001F3997">
        <w:rPr>
          <w:rFonts w:ascii="Arial" w:hAnsi="Arial" w:cs="Arial"/>
        </w:rPr>
        <w:t xml:space="preserve">that are identified by deletion or </w:t>
      </w:r>
      <w:r w:rsidR="00B8724A" w:rsidRPr="001F3997">
        <w:rPr>
          <w:rFonts w:ascii="Arial" w:hAnsi="Arial" w:cs="Arial"/>
        </w:rPr>
        <w:t>insertion (</w:t>
      </w:r>
      <w:r w:rsidRPr="001F3997">
        <w:rPr>
          <w:rFonts w:ascii="Arial" w:hAnsi="Arial" w:cs="Arial"/>
        </w:rPr>
        <w:t>bold type</w:t>
      </w:r>
      <w:r w:rsidR="00B8724A" w:rsidRPr="001F3997">
        <w:rPr>
          <w:rFonts w:ascii="Arial" w:hAnsi="Arial" w:cs="Arial"/>
        </w:rPr>
        <w:t>)</w:t>
      </w:r>
      <w:r w:rsidRPr="001F3997">
        <w:rPr>
          <w:rFonts w:ascii="Arial" w:hAnsi="Arial" w:cs="Arial"/>
        </w:rPr>
        <w:t xml:space="preserve"> in the </w:t>
      </w:r>
      <w:r w:rsidR="00B8724A" w:rsidRPr="001F3997">
        <w:rPr>
          <w:rFonts w:ascii="Arial" w:hAnsi="Arial" w:cs="Arial"/>
        </w:rPr>
        <w:t>guidance associated with</w:t>
      </w:r>
      <w:r w:rsidRPr="001F3997">
        <w:rPr>
          <w:rFonts w:ascii="Arial" w:hAnsi="Arial" w:cs="Arial"/>
        </w:rPr>
        <w:t xml:space="preserve"> </w:t>
      </w:r>
      <w:r w:rsidR="00AB2D70" w:rsidRPr="001F3997">
        <w:rPr>
          <w:rFonts w:ascii="Arial" w:hAnsi="Arial" w:cs="Arial"/>
        </w:rPr>
        <w:t xml:space="preserve">rC26 </w:t>
      </w:r>
      <w:r w:rsidR="00B8724A" w:rsidRPr="001F3997">
        <w:rPr>
          <w:rFonts w:ascii="Arial" w:hAnsi="Arial" w:cs="Arial"/>
        </w:rPr>
        <w:t>(</w:t>
      </w:r>
      <w:r w:rsidR="00AB2D70" w:rsidRPr="001F3997">
        <w:rPr>
          <w:rFonts w:ascii="Arial" w:hAnsi="Arial" w:cs="Arial"/>
        </w:rPr>
        <w:t>gC83 – gC87</w:t>
      </w:r>
      <w:r w:rsidR="00B8724A" w:rsidRPr="001F3997">
        <w:rPr>
          <w:rFonts w:ascii="Arial" w:hAnsi="Arial" w:cs="Arial"/>
        </w:rPr>
        <w:t>)</w:t>
      </w:r>
      <w:r w:rsidR="00AB2D70" w:rsidRPr="001F3997">
        <w:rPr>
          <w:rFonts w:ascii="Arial" w:hAnsi="Arial" w:cs="Arial"/>
        </w:rPr>
        <w:t xml:space="preserve"> set out below.</w:t>
      </w:r>
      <w:r w:rsidR="00BB1536" w:rsidRPr="001F3997">
        <w:rPr>
          <w:rFonts w:ascii="Arial" w:hAnsi="Arial" w:cs="Arial"/>
        </w:rPr>
        <w:t xml:space="preserve">  In drafting this guidance, the BSB has had regard to the various competing factors that a barrister should have in mind when deciding whether it is appropriate to return instructions.  In applying this guidance, the barrister </w:t>
      </w:r>
      <w:r w:rsidR="004C78EC" w:rsidRPr="001F3997">
        <w:rPr>
          <w:rFonts w:ascii="Arial" w:hAnsi="Arial" w:cs="Arial"/>
        </w:rPr>
        <w:t xml:space="preserve">should </w:t>
      </w:r>
      <w:r w:rsidR="002E27CC" w:rsidRPr="001F3997">
        <w:rPr>
          <w:rFonts w:ascii="Arial" w:hAnsi="Arial" w:cs="Arial"/>
        </w:rPr>
        <w:t>exercise his professional judgement, having</w:t>
      </w:r>
      <w:r w:rsidR="004C78EC" w:rsidRPr="001F3997">
        <w:rPr>
          <w:rFonts w:ascii="Arial" w:hAnsi="Arial" w:cs="Arial"/>
        </w:rPr>
        <w:t xml:space="preserve"> regard to the relevant Handbook outcomes, in particular that instructions are not accepted, refused, or returned in circumstances which adversely affect the administration of justice, access to justice or (so far as compatible with these) the best interests of the client.</w:t>
      </w:r>
    </w:p>
    <w:p w:rsidR="00144142" w:rsidRPr="001F3997" w:rsidRDefault="00144142" w:rsidP="001F3997">
      <w:pPr>
        <w:pStyle w:val="ListParagraph"/>
        <w:jc w:val="both"/>
        <w:rPr>
          <w:rFonts w:ascii="Arial" w:hAnsi="Arial" w:cs="Arial"/>
          <w:i/>
        </w:rPr>
      </w:pPr>
    </w:p>
    <w:p w:rsidR="00AB2D70" w:rsidRPr="001F3997" w:rsidRDefault="00144142" w:rsidP="001F3997">
      <w:pPr>
        <w:pStyle w:val="ListParagraph"/>
        <w:numPr>
          <w:ilvl w:val="0"/>
          <w:numId w:val="11"/>
        </w:numPr>
        <w:jc w:val="both"/>
        <w:rPr>
          <w:rFonts w:ascii="Arial" w:hAnsi="Arial" w:cs="Arial"/>
          <w:i/>
        </w:rPr>
      </w:pPr>
      <w:r w:rsidRPr="001F3997">
        <w:rPr>
          <w:rFonts w:ascii="Arial" w:hAnsi="Arial" w:cs="Arial"/>
        </w:rPr>
        <w:t>The Handbook includes the following rule (the BSB is not amending the rule):</w:t>
      </w:r>
      <w:r w:rsidR="00890910" w:rsidRPr="001F3997">
        <w:rPr>
          <w:rFonts w:ascii="Arial" w:hAnsi="Arial" w:cs="Arial"/>
          <w:i/>
        </w:rPr>
        <w:t xml:space="preserve"> </w:t>
      </w:r>
    </w:p>
    <w:p w:rsidR="00624548" w:rsidRPr="001F3997" w:rsidRDefault="00624548" w:rsidP="001F3997">
      <w:pPr>
        <w:pStyle w:val="ListParagraph"/>
        <w:jc w:val="both"/>
        <w:rPr>
          <w:rFonts w:ascii="Arial" w:hAnsi="Arial" w:cs="Arial"/>
        </w:rPr>
      </w:pPr>
    </w:p>
    <w:p w:rsidR="00890910" w:rsidRPr="001F3997" w:rsidRDefault="00890910" w:rsidP="001F3997">
      <w:pPr>
        <w:pStyle w:val="NVdrafting"/>
        <w:numPr>
          <w:ilvl w:val="0"/>
          <w:numId w:val="0"/>
        </w:numPr>
        <w:spacing w:before="120" w:after="120" w:line="240" w:lineRule="auto"/>
        <w:ind w:left="1440" w:hanging="589"/>
        <w:jc w:val="both"/>
        <w:rPr>
          <w:rFonts w:ascii="Arial" w:hAnsi="Arial" w:cs="Arial"/>
        </w:rPr>
      </w:pPr>
      <w:r w:rsidRPr="001F3997">
        <w:rPr>
          <w:rFonts w:ascii="Arial" w:hAnsi="Arial" w:cs="Arial"/>
        </w:rPr>
        <w:t xml:space="preserve">rC26 </w:t>
      </w:r>
      <w:r w:rsidRPr="001F3997">
        <w:rPr>
          <w:rFonts w:ascii="Arial" w:hAnsi="Arial" w:cs="Arial"/>
        </w:rPr>
        <w:tab/>
        <w:t>You may cease to act on a matter on which you are instructed and return your instructions if:</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.1 </w:t>
      </w:r>
      <w:r w:rsidRPr="001F3997">
        <w:rPr>
          <w:rFonts w:ascii="Arial" w:hAnsi="Arial" w:cs="Arial"/>
        </w:rPr>
        <w:tab/>
        <w:t>your professional conduct is being called into question; or</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.2 </w:t>
      </w:r>
      <w:r w:rsidRPr="001F3997">
        <w:rPr>
          <w:rFonts w:ascii="Arial" w:hAnsi="Arial" w:cs="Arial"/>
        </w:rPr>
        <w:tab/>
        <w:t>the client consents; or</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.3 </w:t>
      </w:r>
      <w:r w:rsidRPr="001F3997">
        <w:rPr>
          <w:rFonts w:ascii="Arial" w:hAnsi="Arial" w:cs="Arial"/>
        </w:rPr>
        <w:tab/>
        <w:t>you are a self-employed barrister and:</w:t>
      </w:r>
    </w:p>
    <w:p w:rsidR="00890910" w:rsidRPr="001F3997" w:rsidRDefault="00890910" w:rsidP="001F3997">
      <w:pPr>
        <w:pStyle w:val="NVdrafting"/>
        <w:numPr>
          <w:ilvl w:val="0"/>
          <w:numId w:val="0"/>
        </w:numPr>
        <w:tabs>
          <w:tab w:val="left" w:pos="2127"/>
        </w:tabs>
        <w:spacing w:before="120" w:after="120" w:line="240" w:lineRule="auto"/>
        <w:ind w:left="2880" w:hanging="2029"/>
        <w:jc w:val="both"/>
        <w:rPr>
          <w:rFonts w:ascii="Arial" w:hAnsi="Arial" w:cs="Arial"/>
        </w:rPr>
      </w:pPr>
      <w:r w:rsidRPr="001F3997">
        <w:rPr>
          <w:rFonts w:ascii="Arial" w:hAnsi="Arial" w:cs="Arial"/>
        </w:rPr>
        <w:tab/>
        <w:t xml:space="preserve">.a </w:t>
      </w:r>
      <w:r w:rsidRPr="001F3997">
        <w:rPr>
          <w:rFonts w:ascii="Arial" w:hAnsi="Arial" w:cs="Arial"/>
        </w:rPr>
        <w:tab/>
        <w:t>despite all reasonable efforts to prevent it, a hearing becomes fixed for a date on which you have already entered in your professional diary that you will not be available; or</w:t>
      </w:r>
    </w:p>
    <w:p w:rsidR="00890910" w:rsidRPr="001F3997" w:rsidRDefault="00890910" w:rsidP="001F3997">
      <w:pPr>
        <w:pStyle w:val="NVdrafting"/>
        <w:numPr>
          <w:ilvl w:val="0"/>
          <w:numId w:val="0"/>
        </w:numPr>
        <w:tabs>
          <w:tab w:val="left" w:pos="2127"/>
        </w:tabs>
        <w:spacing w:before="120" w:after="120" w:line="240" w:lineRule="auto"/>
        <w:ind w:left="2880" w:hanging="2029"/>
        <w:jc w:val="both"/>
        <w:rPr>
          <w:rFonts w:ascii="Arial" w:hAnsi="Arial" w:cs="Arial"/>
        </w:rPr>
      </w:pPr>
      <w:r w:rsidRPr="001F3997">
        <w:rPr>
          <w:rFonts w:ascii="Arial" w:hAnsi="Arial" w:cs="Arial"/>
        </w:rPr>
        <w:tab/>
        <w:t xml:space="preserve">.b </w:t>
      </w:r>
      <w:r w:rsidRPr="001F3997">
        <w:rPr>
          <w:rFonts w:ascii="Arial" w:hAnsi="Arial" w:cs="Arial"/>
        </w:rPr>
        <w:tab/>
        <w:t>illness, injury, pregnancy, childbirth, a bereavement or a similar matter makes you unable reasonably to perform the services required in the instructions; or</w:t>
      </w:r>
    </w:p>
    <w:p w:rsidR="00890910" w:rsidRPr="001F3997" w:rsidRDefault="00890910" w:rsidP="001F3997">
      <w:pPr>
        <w:pStyle w:val="NVdrafting"/>
        <w:numPr>
          <w:ilvl w:val="0"/>
          <w:numId w:val="0"/>
        </w:numPr>
        <w:spacing w:before="120" w:after="120" w:line="240" w:lineRule="auto"/>
        <w:ind w:left="851" w:hanging="851"/>
        <w:jc w:val="both"/>
        <w:rPr>
          <w:rFonts w:ascii="Arial" w:hAnsi="Arial" w:cs="Arial"/>
        </w:rPr>
      </w:pPr>
      <w:r w:rsidRPr="001F3997">
        <w:rPr>
          <w:rFonts w:ascii="Arial" w:hAnsi="Arial" w:cs="Arial"/>
        </w:rPr>
        <w:tab/>
      </w:r>
      <w:r w:rsidRPr="001F3997">
        <w:rPr>
          <w:rFonts w:ascii="Arial" w:hAnsi="Arial" w:cs="Arial"/>
        </w:rPr>
        <w:tab/>
      </w:r>
      <w:r w:rsidRPr="001F3997">
        <w:rPr>
          <w:rFonts w:ascii="Arial" w:hAnsi="Arial" w:cs="Arial"/>
        </w:rPr>
        <w:tab/>
        <w:t xml:space="preserve">.c </w:t>
      </w:r>
      <w:r w:rsidRPr="001F3997">
        <w:rPr>
          <w:rFonts w:ascii="Arial" w:hAnsi="Arial" w:cs="Arial"/>
        </w:rPr>
        <w:tab/>
        <w:t>you are unavoidably required to attend on jury service;</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.4 </w:t>
      </w:r>
      <w:r w:rsidRPr="001F3997">
        <w:rPr>
          <w:rFonts w:ascii="Arial" w:hAnsi="Arial" w:cs="Arial"/>
        </w:rPr>
        <w:tab/>
      </w:r>
      <w:r w:rsidR="00B8724A" w:rsidRPr="001F3997">
        <w:rPr>
          <w:rFonts w:ascii="Arial" w:hAnsi="Arial" w:cs="Arial"/>
        </w:rPr>
        <w:t>[not currently in force]</w:t>
      </w:r>
      <w:r w:rsidRPr="001F3997">
        <w:rPr>
          <w:rFonts w:ascii="Arial" w:hAnsi="Arial" w:cs="Arial"/>
        </w:rPr>
        <w:t>;</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.5 </w:t>
      </w:r>
      <w:r w:rsidRPr="001F3997">
        <w:rPr>
          <w:rFonts w:ascii="Arial" w:hAnsi="Arial" w:cs="Arial"/>
        </w:rPr>
        <w:tab/>
        <w:t>you do not receive payment when due in accordance with terms agreed, subject to Rule C26.7 (if you are conducting litigation) and in any other case subject to your giving reasonable notice requiring the non-payment to be remedied and making it clear to the client in that notice that failure to remedy the non-payment may result in you ceasing to act and returning your instructions in respect of the particular matter; or</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.6 </w:t>
      </w:r>
      <w:r w:rsidRPr="001F3997">
        <w:rPr>
          <w:rFonts w:ascii="Arial" w:hAnsi="Arial" w:cs="Arial"/>
        </w:rPr>
        <w:tab/>
        <w:t>you become aware of confidential or privileged information or documents of another person which relate to the matter on which you are instructed; or</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rPr>
      </w:pPr>
      <w:r w:rsidRPr="001F3997">
        <w:rPr>
          <w:rFonts w:ascii="Arial" w:hAnsi="Arial" w:cs="Arial"/>
        </w:rPr>
        <w:tab/>
        <w:t xml:space="preserve">.7 </w:t>
      </w:r>
      <w:r w:rsidRPr="001F3997">
        <w:rPr>
          <w:rFonts w:ascii="Arial" w:hAnsi="Arial" w:cs="Arial"/>
        </w:rPr>
        <w:tab/>
        <w:t>if you are conducting litigation, and your client does not consent to your ceasing to act, your application to come off the record has been granted; or</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lastRenderedPageBreak/>
        <w:tab/>
      </w:r>
      <w:r w:rsidRPr="001F3997">
        <w:rPr>
          <w:rFonts w:ascii="Arial" w:hAnsi="Arial" w:cs="Arial"/>
        </w:rPr>
        <w:t>.8</w:t>
      </w:r>
      <w:r w:rsidRPr="001F3997">
        <w:rPr>
          <w:rFonts w:ascii="Arial" w:hAnsi="Arial" w:cs="Arial"/>
          <w:b/>
        </w:rPr>
        <w:t xml:space="preserve"> </w:t>
      </w:r>
      <w:r w:rsidRPr="001F3997">
        <w:rPr>
          <w:rFonts w:ascii="Arial" w:hAnsi="Arial" w:cs="Arial"/>
          <w:b/>
        </w:rPr>
        <w:tab/>
      </w:r>
      <w:r w:rsidRPr="001F3997">
        <w:rPr>
          <w:rFonts w:ascii="Arial" w:hAnsi="Arial" w:cs="Arial"/>
        </w:rPr>
        <w:t>there is some other substantial reason for doing so (subject to Rules C27 to C29 below).</w:t>
      </w:r>
    </w:p>
    <w:p w:rsidR="00890910" w:rsidRPr="001F3997" w:rsidRDefault="00144142" w:rsidP="001F3997">
      <w:pPr>
        <w:pStyle w:val="ListParagraph"/>
        <w:numPr>
          <w:ilvl w:val="0"/>
          <w:numId w:val="11"/>
        </w:numPr>
        <w:jc w:val="both"/>
        <w:rPr>
          <w:rFonts w:ascii="Arial" w:hAnsi="Arial" w:cs="Arial"/>
        </w:rPr>
      </w:pPr>
      <w:r w:rsidRPr="001F3997">
        <w:rPr>
          <w:rFonts w:ascii="Arial" w:hAnsi="Arial" w:cs="Arial"/>
        </w:rPr>
        <w:t>The following g</w:t>
      </w:r>
      <w:r w:rsidR="0045229B" w:rsidRPr="001F3997">
        <w:rPr>
          <w:rFonts w:ascii="Arial" w:hAnsi="Arial" w:cs="Arial"/>
        </w:rPr>
        <w:t xml:space="preserve">uidance </w:t>
      </w:r>
      <w:r w:rsidRPr="001F3997">
        <w:rPr>
          <w:rFonts w:ascii="Arial" w:hAnsi="Arial" w:cs="Arial"/>
        </w:rPr>
        <w:t xml:space="preserve">is provided </w:t>
      </w:r>
      <w:r w:rsidR="0045229B" w:rsidRPr="001F3997">
        <w:rPr>
          <w:rFonts w:ascii="Arial" w:hAnsi="Arial" w:cs="Arial"/>
        </w:rPr>
        <w:t>on Rule 26</w:t>
      </w:r>
      <w:r w:rsidRPr="001F3997">
        <w:rPr>
          <w:rFonts w:ascii="Arial" w:hAnsi="Arial" w:cs="Arial"/>
        </w:rPr>
        <w:t xml:space="preserve"> (the BSB proposes to make the highlighted changes)</w:t>
      </w:r>
      <w:r w:rsidR="00890910" w:rsidRPr="001F3997">
        <w:rPr>
          <w:rFonts w:ascii="Arial" w:hAnsi="Arial" w:cs="Arial"/>
        </w:rPr>
        <w:t>:</w:t>
      </w:r>
    </w:p>
    <w:p w:rsidR="00E158CF" w:rsidRPr="001F3997" w:rsidRDefault="00890910" w:rsidP="001F3997">
      <w:pPr>
        <w:pStyle w:val="NVdrafting"/>
        <w:numPr>
          <w:ilvl w:val="0"/>
          <w:numId w:val="0"/>
        </w:numPr>
        <w:spacing w:before="120" w:after="120" w:line="240" w:lineRule="auto"/>
        <w:ind w:left="2156" w:hanging="1305"/>
        <w:jc w:val="both"/>
        <w:rPr>
          <w:rFonts w:ascii="Arial" w:hAnsi="Arial" w:cs="Arial"/>
        </w:rPr>
      </w:pPr>
      <w:r w:rsidRPr="001F3997">
        <w:rPr>
          <w:rFonts w:ascii="Arial" w:hAnsi="Arial" w:cs="Arial"/>
        </w:rPr>
        <w:t xml:space="preserve">gC83 </w:t>
      </w:r>
      <w:r w:rsidRPr="001F3997">
        <w:rPr>
          <w:rFonts w:ascii="Arial" w:hAnsi="Arial" w:cs="Arial"/>
        </w:rPr>
        <w:tab/>
        <w:t>In deciding whether to cease to act and to return existing instructions in accordance with Rule C26, you should, where possible and subject to your overriding duty to the court, ensure that the client is not adversely affected because there is not enough time to engage other adequate legal assistance.</w:t>
      </w:r>
    </w:p>
    <w:p w:rsidR="00890910" w:rsidRPr="001F3997" w:rsidRDefault="00E158CF" w:rsidP="001F3997">
      <w:pPr>
        <w:pStyle w:val="NVdrafting"/>
        <w:numPr>
          <w:ilvl w:val="0"/>
          <w:numId w:val="0"/>
        </w:numPr>
        <w:spacing w:before="120" w:after="120" w:line="240" w:lineRule="auto"/>
        <w:ind w:left="2156" w:hanging="1305"/>
        <w:jc w:val="both"/>
        <w:rPr>
          <w:rFonts w:ascii="Arial" w:hAnsi="Arial" w:cs="Arial"/>
        </w:rPr>
      </w:pPr>
      <w:r w:rsidRPr="001F3997">
        <w:rPr>
          <w:rFonts w:ascii="Arial" w:hAnsi="Arial" w:cs="Arial"/>
        </w:rPr>
        <w:t>gC84</w:t>
      </w:r>
      <w:r w:rsidRPr="001F3997">
        <w:rPr>
          <w:rFonts w:ascii="Arial" w:hAnsi="Arial" w:cs="Arial"/>
        </w:rPr>
        <w:tab/>
        <w:t xml:space="preserve">If you are working on a referral basis and your professional client withdraws, you are no longer instructed and cannot continue to act unless appointed by the court, or you otherwise receive new instructions.  You will not be bound by the cab rank rule if appointed by the court.  For these purposes working on a “referral basis” means where a professional </w:t>
      </w:r>
      <w:r w:rsidR="00DB3E52" w:rsidRPr="001F3997">
        <w:rPr>
          <w:rFonts w:ascii="Arial" w:hAnsi="Arial" w:cs="Arial"/>
        </w:rPr>
        <w:t>client instructs a BSB authorised individual to provide legal services on behalf of one of that professional client’s own clients.</w:t>
      </w:r>
    </w:p>
    <w:p w:rsidR="00890910" w:rsidRPr="001F3997" w:rsidRDefault="00890910" w:rsidP="001F3997">
      <w:pPr>
        <w:pStyle w:val="NVdrafting"/>
        <w:numPr>
          <w:ilvl w:val="0"/>
          <w:numId w:val="0"/>
        </w:numPr>
        <w:spacing w:before="120" w:after="120" w:line="240" w:lineRule="auto"/>
        <w:ind w:left="2156" w:hanging="1305"/>
        <w:jc w:val="both"/>
        <w:rPr>
          <w:rFonts w:ascii="Arial" w:hAnsi="Arial" w:cs="Arial"/>
        </w:rPr>
      </w:pPr>
      <w:r w:rsidRPr="001F3997">
        <w:rPr>
          <w:rFonts w:ascii="Arial" w:hAnsi="Arial" w:cs="Arial"/>
        </w:rPr>
        <w:t xml:space="preserve">gC85 </w:t>
      </w:r>
      <w:r w:rsidRPr="001F3997">
        <w:rPr>
          <w:rFonts w:ascii="Arial" w:hAnsi="Arial" w:cs="Arial"/>
        </w:rPr>
        <w:tab/>
        <w:t>You should not rely on Rule C26.3 to break an engagement to supply legal services so that you can attend or fulfil a non-professional engagement of any kind other than those indicated in Rule C26.3.</w:t>
      </w:r>
    </w:p>
    <w:p w:rsidR="00890910" w:rsidRPr="001F3997" w:rsidRDefault="00890910" w:rsidP="001F3997">
      <w:pPr>
        <w:pStyle w:val="NVdrafting"/>
        <w:numPr>
          <w:ilvl w:val="0"/>
          <w:numId w:val="0"/>
        </w:numPr>
        <w:spacing w:before="120" w:after="120" w:line="240" w:lineRule="auto"/>
        <w:ind w:left="2156" w:hanging="1305"/>
        <w:jc w:val="both"/>
        <w:rPr>
          <w:rFonts w:ascii="Arial" w:hAnsi="Arial" w:cs="Arial"/>
        </w:rPr>
      </w:pPr>
      <w:r w:rsidRPr="001F3997">
        <w:rPr>
          <w:rFonts w:ascii="Arial" w:hAnsi="Arial" w:cs="Arial"/>
        </w:rPr>
        <w:t>gC86</w:t>
      </w:r>
      <w:r w:rsidRPr="001F3997">
        <w:rPr>
          <w:rFonts w:ascii="Arial" w:hAnsi="Arial" w:cs="Arial"/>
        </w:rPr>
        <w:tab/>
      </w:r>
      <w:r w:rsidR="008A5612" w:rsidRPr="001F3997">
        <w:rPr>
          <w:rFonts w:ascii="Arial" w:hAnsi="Arial" w:cs="Arial"/>
        </w:rPr>
        <w:tab/>
      </w:r>
      <w:r w:rsidRPr="001F3997">
        <w:rPr>
          <w:rFonts w:ascii="Arial" w:hAnsi="Arial" w:cs="Arial"/>
        </w:rPr>
        <w:t xml:space="preserve">When considering whether or not you are required to return instructions in accordance with Rule C26.6 you should have regard to relevant case law including: English &amp; American Insurance Co Ltd &amp; Others -v- Herbert Smith; </w:t>
      </w:r>
      <w:proofErr w:type="spellStart"/>
      <w:r w:rsidRPr="001F3997">
        <w:rPr>
          <w:rFonts w:ascii="Arial" w:hAnsi="Arial" w:cs="Arial"/>
        </w:rPr>
        <w:t>ChD</w:t>
      </w:r>
      <w:proofErr w:type="spellEnd"/>
      <w:r w:rsidRPr="001F3997">
        <w:rPr>
          <w:rFonts w:ascii="Arial" w:hAnsi="Arial" w:cs="Arial"/>
        </w:rPr>
        <w:t xml:space="preserve"> 1987; (1987) NLJ 148 and </w:t>
      </w:r>
      <w:proofErr w:type="spellStart"/>
      <w:r w:rsidRPr="001F3997">
        <w:rPr>
          <w:rFonts w:ascii="Arial" w:hAnsi="Arial" w:cs="Arial"/>
        </w:rPr>
        <w:t>Ablitt</w:t>
      </w:r>
      <w:proofErr w:type="spellEnd"/>
      <w:r w:rsidRPr="001F3997">
        <w:rPr>
          <w:rFonts w:ascii="Arial" w:hAnsi="Arial" w:cs="Arial"/>
        </w:rPr>
        <w:t xml:space="preserve"> -v- Mills &amp; Reeve (A Firm) and Another; </w:t>
      </w:r>
      <w:proofErr w:type="spellStart"/>
      <w:r w:rsidRPr="001F3997">
        <w:rPr>
          <w:rFonts w:ascii="Arial" w:hAnsi="Arial" w:cs="Arial"/>
        </w:rPr>
        <w:t>ChD</w:t>
      </w:r>
      <w:proofErr w:type="spellEnd"/>
      <w:r w:rsidRPr="001F3997">
        <w:rPr>
          <w:rFonts w:ascii="Arial" w:hAnsi="Arial" w:cs="Arial"/>
        </w:rPr>
        <w:t xml:space="preserve"> (Times, 24-Oct-1995).</w:t>
      </w:r>
    </w:p>
    <w:p w:rsidR="00890910" w:rsidRPr="001F3997" w:rsidRDefault="00890910" w:rsidP="001F3997">
      <w:pPr>
        <w:pStyle w:val="NVdrafting"/>
        <w:numPr>
          <w:ilvl w:val="0"/>
          <w:numId w:val="0"/>
        </w:numPr>
        <w:spacing w:before="120" w:after="120" w:line="240" w:lineRule="auto"/>
        <w:ind w:left="2156" w:hanging="1305"/>
        <w:jc w:val="both"/>
        <w:rPr>
          <w:rFonts w:ascii="Arial" w:hAnsi="Arial" w:cs="Arial"/>
          <w:strike/>
        </w:rPr>
      </w:pPr>
      <w:r w:rsidRPr="001F3997">
        <w:rPr>
          <w:rFonts w:ascii="Arial" w:hAnsi="Arial" w:cs="Arial"/>
          <w:strike/>
        </w:rPr>
        <w:t>gC87</w:t>
      </w:r>
      <w:r w:rsidR="008A5612" w:rsidRPr="001F3997">
        <w:rPr>
          <w:rFonts w:ascii="Arial" w:hAnsi="Arial" w:cs="Arial"/>
          <w:b/>
        </w:rPr>
        <w:tab/>
      </w:r>
      <w:r w:rsidRPr="001F3997">
        <w:rPr>
          <w:rFonts w:ascii="Arial" w:hAnsi="Arial" w:cs="Arial"/>
          <w:strike/>
        </w:rPr>
        <w:tab/>
        <w:t>If a fundamental change is made to the basis of your remuneration, you should treat such a change as though your original instructions have been withdrawn by the client and replaced by an offer of new instructions on different terms. Accordingly:</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strike/>
        </w:rPr>
      </w:pPr>
      <w:r w:rsidRPr="001F3997">
        <w:rPr>
          <w:rFonts w:ascii="Arial" w:hAnsi="Arial" w:cs="Arial"/>
          <w:strike/>
        </w:rPr>
        <w:tab/>
        <w:t xml:space="preserve">.1 </w:t>
      </w:r>
      <w:r w:rsidRPr="001F3997">
        <w:rPr>
          <w:rFonts w:ascii="Arial" w:hAnsi="Arial" w:cs="Arial"/>
          <w:strike/>
        </w:rPr>
        <w:tab/>
        <w:t>you must decide whether you are obliged by Rule C29 to accept the new instructions;</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strike/>
        </w:rPr>
      </w:pPr>
      <w:r w:rsidRPr="001F3997">
        <w:rPr>
          <w:rFonts w:ascii="Arial" w:hAnsi="Arial" w:cs="Arial"/>
          <w:strike/>
        </w:rPr>
        <w:tab/>
        <w:t xml:space="preserve">.2 </w:t>
      </w:r>
      <w:r w:rsidRPr="001F3997">
        <w:rPr>
          <w:rFonts w:ascii="Arial" w:hAnsi="Arial" w:cs="Arial"/>
          <w:strike/>
        </w:rPr>
        <w:tab/>
        <w:t>if you are obliged under Rule C29 to accept the new instructions, you must do so;</w:t>
      </w:r>
    </w:p>
    <w:p w:rsidR="00890910" w:rsidRPr="001F3997" w:rsidRDefault="00890910" w:rsidP="001F3997">
      <w:pPr>
        <w:pStyle w:val="NVdrafting"/>
        <w:numPr>
          <w:ilvl w:val="0"/>
          <w:numId w:val="0"/>
        </w:numPr>
        <w:tabs>
          <w:tab w:val="left" w:pos="1418"/>
        </w:tabs>
        <w:spacing w:before="120" w:after="120" w:line="240" w:lineRule="auto"/>
        <w:ind w:left="2160" w:hanging="1309"/>
        <w:jc w:val="both"/>
        <w:rPr>
          <w:rFonts w:ascii="Arial" w:hAnsi="Arial" w:cs="Arial"/>
          <w:strike/>
        </w:rPr>
      </w:pPr>
      <w:r w:rsidRPr="001F3997">
        <w:rPr>
          <w:rFonts w:ascii="Arial" w:hAnsi="Arial" w:cs="Arial"/>
          <w:strike/>
        </w:rPr>
        <w:tab/>
        <w:t xml:space="preserve">.3 </w:t>
      </w:r>
      <w:r w:rsidRPr="001F3997">
        <w:rPr>
          <w:rFonts w:ascii="Arial" w:hAnsi="Arial" w:cs="Arial"/>
          <w:strike/>
        </w:rPr>
        <w:tab/>
        <w:t>if you are not obliged to accept the new instructions, you may decline them;</w:t>
      </w:r>
    </w:p>
    <w:p w:rsidR="00327971" w:rsidRPr="001F3997" w:rsidRDefault="00890910" w:rsidP="001F3997">
      <w:pPr>
        <w:ind w:left="1440" w:hanging="1080"/>
        <w:jc w:val="both"/>
        <w:rPr>
          <w:rFonts w:ascii="Arial" w:hAnsi="Arial" w:cs="Arial"/>
          <w:strike/>
        </w:rPr>
      </w:pPr>
      <w:r w:rsidRPr="001F3997">
        <w:rPr>
          <w:rFonts w:ascii="Arial" w:hAnsi="Arial" w:cs="Arial"/>
          <w:strike/>
        </w:rPr>
        <w:tab/>
        <w:t xml:space="preserve">.4 </w:t>
      </w:r>
      <w:r w:rsidRPr="001F3997">
        <w:rPr>
          <w:rFonts w:ascii="Arial" w:hAnsi="Arial" w:cs="Arial"/>
          <w:strike/>
        </w:rPr>
        <w:tab/>
        <w:t>if you decline to accept the new instructions in such circumstances, you are not to be regarded as returning your instructions, nor as withdrawing from the matter, nor as ceasing to act, for the purposes of Rules C25 to C26, because the previous instructions have been withdrawn by the client.</w:t>
      </w:r>
    </w:p>
    <w:p w:rsidR="00890910" w:rsidRPr="001F3997" w:rsidRDefault="00327971" w:rsidP="001F3997">
      <w:pPr>
        <w:ind w:left="1440" w:hanging="1080"/>
        <w:jc w:val="both"/>
        <w:rPr>
          <w:rFonts w:ascii="Arial" w:hAnsi="Arial" w:cs="Arial"/>
          <w:b/>
        </w:rPr>
      </w:pPr>
      <w:r w:rsidRPr="001F3997">
        <w:rPr>
          <w:rFonts w:ascii="Arial" w:hAnsi="Arial" w:cs="Arial"/>
        </w:rPr>
        <w:t xml:space="preserve"> gC87</w:t>
      </w:r>
      <w:r w:rsidRPr="001F3997">
        <w:rPr>
          <w:rFonts w:ascii="Arial" w:hAnsi="Arial" w:cs="Arial"/>
        </w:rPr>
        <w:tab/>
      </w:r>
      <w:r w:rsidRPr="001F3997">
        <w:rPr>
          <w:rFonts w:ascii="Arial" w:hAnsi="Arial" w:cs="Arial"/>
          <w:b/>
        </w:rPr>
        <w:t xml:space="preserve">A fundamental change made to the basis of your remuneration or a substantial failure to meet agreed contractual terms may </w:t>
      </w:r>
      <w:r w:rsidR="003E42B4" w:rsidRPr="001F3997">
        <w:rPr>
          <w:rFonts w:ascii="Arial" w:hAnsi="Arial" w:cs="Arial"/>
          <w:b/>
        </w:rPr>
        <w:t xml:space="preserve">well </w:t>
      </w:r>
      <w:r w:rsidRPr="001F3997">
        <w:rPr>
          <w:rFonts w:ascii="Arial" w:hAnsi="Arial" w:cs="Arial"/>
          <w:b/>
        </w:rPr>
        <w:t xml:space="preserve">amount to “some other substantial reason” justifying your withdrawing from a case or returning instructions within Rule </w:t>
      </w:r>
      <w:r w:rsidR="00B8724A" w:rsidRPr="001F3997">
        <w:rPr>
          <w:rFonts w:ascii="Arial" w:hAnsi="Arial" w:cs="Arial"/>
          <w:b/>
        </w:rPr>
        <w:t>C</w:t>
      </w:r>
      <w:r w:rsidRPr="001F3997">
        <w:rPr>
          <w:rFonts w:ascii="Arial" w:hAnsi="Arial" w:cs="Arial"/>
          <w:b/>
        </w:rPr>
        <w:t xml:space="preserve">26. However before doing so you must consider (and the BSB will have regard to) all relevant circumstances in deciding whether your withdrawing from the case can </w:t>
      </w:r>
      <w:r w:rsidR="006C04EC" w:rsidRPr="001F3997">
        <w:rPr>
          <w:rFonts w:ascii="Arial" w:hAnsi="Arial" w:cs="Arial"/>
          <w:b/>
        </w:rPr>
        <w:t xml:space="preserve">reasonably </w:t>
      </w:r>
      <w:r w:rsidRPr="001F3997">
        <w:rPr>
          <w:rFonts w:ascii="Arial" w:hAnsi="Arial" w:cs="Arial"/>
          <w:b/>
        </w:rPr>
        <w:t xml:space="preserve">be justified, including: </w:t>
      </w:r>
    </w:p>
    <w:p w:rsidR="008A5612" w:rsidRPr="001F3997" w:rsidRDefault="008A5612" w:rsidP="001F3997">
      <w:pPr>
        <w:pStyle w:val="NVdrafting"/>
        <w:numPr>
          <w:ilvl w:val="0"/>
          <w:numId w:val="0"/>
        </w:numPr>
        <w:spacing w:before="120" w:after="120" w:line="240" w:lineRule="auto"/>
        <w:ind w:left="2156" w:hanging="1305"/>
        <w:jc w:val="both"/>
        <w:rPr>
          <w:rFonts w:ascii="Arial" w:hAnsi="Arial" w:cs="Arial"/>
          <w:b/>
        </w:rPr>
      </w:pPr>
    </w:p>
    <w:p w:rsidR="008A5612" w:rsidRPr="001F3997" w:rsidRDefault="008A5612"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lastRenderedPageBreak/>
        <w:tab/>
        <w:t xml:space="preserve">.1 </w:t>
      </w:r>
      <w:r w:rsidRPr="001F3997">
        <w:rPr>
          <w:rFonts w:ascii="Arial" w:hAnsi="Arial" w:cs="Arial"/>
          <w:b/>
        </w:rPr>
        <w:tab/>
        <w:t>the materiality of the default or change and the notice you were given of it;</w:t>
      </w:r>
    </w:p>
    <w:p w:rsidR="008A5612" w:rsidRPr="001F3997" w:rsidRDefault="00AB2D70"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tab/>
        <w:t>.2</w:t>
      </w:r>
      <w:r w:rsidRPr="001F3997">
        <w:rPr>
          <w:rFonts w:ascii="Arial" w:hAnsi="Arial" w:cs="Arial"/>
          <w:b/>
        </w:rPr>
        <w:tab/>
        <w:t>whether the client or some other person is responsible for the default or change;</w:t>
      </w:r>
    </w:p>
    <w:p w:rsidR="008A5612" w:rsidRPr="001F3997" w:rsidRDefault="00AB2D70"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tab/>
        <w:t>.3</w:t>
      </w:r>
      <w:r w:rsidRPr="001F3997">
        <w:rPr>
          <w:rFonts w:ascii="Arial" w:hAnsi="Arial" w:cs="Arial"/>
          <w:b/>
        </w:rPr>
        <w:tab/>
        <w:t>the likelihood of it being remedied within a reasonable time and, where the client is responsible for the default or change, whether reasonable notice was given to him to remedy the default</w:t>
      </w:r>
      <w:r w:rsidR="00104E24" w:rsidRPr="001F3997">
        <w:rPr>
          <w:rFonts w:ascii="Arial" w:hAnsi="Arial" w:cs="Arial"/>
          <w:b/>
        </w:rPr>
        <w:t>, with a warning</w:t>
      </w:r>
      <w:r w:rsidRPr="001F3997">
        <w:rPr>
          <w:rFonts w:ascii="Arial" w:hAnsi="Arial" w:cs="Arial"/>
          <w:b/>
        </w:rPr>
        <w:t xml:space="preserve"> of the consequences of failing to do so;</w:t>
      </w:r>
    </w:p>
    <w:p w:rsidR="008A5612" w:rsidRPr="001F3997" w:rsidRDefault="00AB2D70"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tab/>
        <w:t>.4</w:t>
      </w:r>
      <w:r w:rsidRPr="001F3997">
        <w:rPr>
          <w:rFonts w:ascii="Arial" w:hAnsi="Arial" w:cs="Arial"/>
          <w:b/>
        </w:rPr>
        <w:tab/>
        <w:t>whether the risk of your withdrawing from the case in the event of a change or default was clearly explained to the client;</w:t>
      </w:r>
    </w:p>
    <w:p w:rsidR="008A5612" w:rsidRPr="001F3997" w:rsidRDefault="00AB2D70" w:rsidP="001F3997">
      <w:pPr>
        <w:pStyle w:val="NVdrafting"/>
        <w:numPr>
          <w:ilvl w:val="0"/>
          <w:numId w:val="0"/>
        </w:numPr>
        <w:tabs>
          <w:tab w:val="left" w:pos="1418"/>
        </w:tabs>
        <w:spacing w:before="120" w:after="120" w:line="240" w:lineRule="auto"/>
        <w:ind w:left="2160" w:hanging="1309"/>
        <w:jc w:val="both"/>
        <w:rPr>
          <w:rFonts w:ascii="Arial" w:hAnsi="Arial" w:cs="Arial"/>
          <w:b/>
        </w:rPr>
      </w:pPr>
      <w:r w:rsidRPr="001F3997">
        <w:rPr>
          <w:rFonts w:ascii="Arial" w:hAnsi="Arial" w:cs="Arial"/>
          <w:b/>
        </w:rPr>
        <w:tab/>
        <w:t>.5</w:t>
      </w:r>
      <w:r w:rsidRPr="001F3997">
        <w:rPr>
          <w:rFonts w:ascii="Arial" w:hAnsi="Arial" w:cs="Arial"/>
          <w:b/>
        </w:rPr>
        <w:tab/>
        <w:t>the likely consequences (if any) that withdrawing from the case at that stage would have, in particular the nature and extent of any prejudice that is likely to be caused to</w:t>
      </w:r>
      <w:r w:rsidR="008A5612" w:rsidRPr="001F3997">
        <w:rPr>
          <w:rFonts w:ascii="Arial" w:hAnsi="Arial" w:cs="Arial"/>
          <w:b/>
        </w:rPr>
        <w:t>:</w:t>
      </w:r>
    </w:p>
    <w:p w:rsidR="008A5612" w:rsidRPr="001F3997" w:rsidRDefault="008A5612" w:rsidP="001F3997">
      <w:pPr>
        <w:pStyle w:val="NVdrafting"/>
        <w:numPr>
          <w:ilvl w:val="0"/>
          <w:numId w:val="0"/>
        </w:numPr>
        <w:tabs>
          <w:tab w:val="left" w:pos="1418"/>
        </w:tabs>
        <w:spacing w:before="120" w:after="120" w:line="240" w:lineRule="auto"/>
        <w:ind w:left="2160" w:hanging="1309"/>
        <w:jc w:val="both"/>
        <w:rPr>
          <w:rFonts w:ascii="Arial" w:hAnsi="Arial" w:cs="Arial"/>
          <w:b/>
        </w:rPr>
      </w:pPr>
    </w:p>
    <w:p w:rsidR="008A5612" w:rsidRPr="001F3997" w:rsidRDefault="008A5612" w:rsidP="001F3997">
      <w:pPr>
        <w:pStyle w:val="NVdrafting"/>
        <w:numPr>
          <w:ilvl w:val="0"/>
          <w:numId w:val="0"/>
        </w:numPr>
        <w:tabs>
          <w:tab w:val="left" w:pos="2127"/>
        </w:tabs>
        <w:spacing w:before="120" w:after="120" w:line="240" w:lineRule="auto"/>
        <w:ind w:left="2880" w:hanging="2029"/>
        <w:jc w:val="both"/>
        <w:rPr>
          <w:rFonts w:ascii="Arial" w:hAnsi="Arial" w:cs="Arial"/>
          <w:b/>
        </w:rPr>
      </w:pPr>
      <w:r w:rsidRPr="001F3997">
        <w:rPr>
          <w:rFonts w:ascii="Arial" w:hAnsi="Arial" w:cs="Arial"/>
          <w:b/>
        </w:rPr>
        <w:tab/>
        <w:t xml:space="preserve">.a </w:t>
      </w:r>
      <w:r w:rsidRPr="001F3997">
        <w:rPr>
          <w:rFonts w:ascii="Arial" w:hAnsi="Arial" w:cs="Arial"/>
          <w:b/>
        </w:rPr>
        <w:tab/>
      </w:r>
      <w:r w:rsidR="00AB2D70" w:rsidRPr="001F3997">
        <w:rPr>
          <w:rFonts w:ascii="Arial" w:hAnsi="Arial" w:cs="Arial"/>
          <w:b/>
        </w:rPr>
        <w:t>the client (for example whether the client is likely to be able represent himself in the proceedings or is likely to be able to have sufficient time to engage other adequate legal assistance);</w:t>
      </w:r>
    </w:p>
    <w:p w:rsidR="008A5612" w:rsidRPr="001F3997" w:rsidRDefault="008A5612" w:rsidP="001F3997">
      <w:pPr>
        <w:pStyle w:val="NVdrafting"/>
        <w:numPr>
          <w:ilvl w:val="0"/>
          <w:numId w:val="0"/>
        </w:numPr>
        <w:tabs>
          <w:tab w:val="left" w:pos="2127"/>
        </w:tabs>
        <w:spacing w:before="120" w:after="120" w:line="240" w:lineRule="auto"/>
        <w:ind w:left="2880" w:hanging="2029"/>
        <w:jc w:val="both"/>
        <w:rPr>
          <w:rFonts w:ascii="Arial" w:hAnsi="Arial" w:cs="Arial"/>
          <w:b/>
        </w:rPr>
      </w:pPr>
      <w:r w:rsidRPr="001F3997">
        <w:rPr>
          <w:rFonts w:ascii="Arial" w:hAnsi="Arial" w:cs="Arial"/>
          <w:b/>
        </w:rPr>
        <w:tab/>
        <w:t>.b</w:t>
      </w:r>
      <w:r w:rsidRPr="001F3997">
        <w:rPr>
          <w:rFonts w:ascii="Arial" w:hAnsi="Arial" w:cs="Arial"/>
          <w:b/>
        </w:rPr>
        <w:tab/>
      </w:r>
      <w:r w:rsidR="00AB2D70" w:rsidRPr="001F3997">
        <w:rPr>
          <w:rFonts w:ascii="Arial" w:hAnsi="Arial" w:cs="Arial"/>
          <w:b/>
        </w:rPr>
        <w:t>other parties, witnesses and other persons immediately affected by the case; and</w:t>
      </w:r>
    </w:p>
    <w:p w:rsidR="00AB2D70" w:rsidRPr="001F3997" w:rsidRDefault="008A5612" w:rsidP="001F3997">
      <w:pPr>
        <w:pStyle w:val="NVdrafting"/>
        <w:numPr>
          <w:ilvl w:val="0"/>
          <w:numId w:val="0"/>
        </w:numPr>
        <w:tabs>
          <w:tab w:val="left" w:pos="2127"/>
        </w:tabs>
        <w:spacing w:before="120" w:after="120" w:line="240" w:lineRule="auto"/>
        <w:ind w:left="2880" w:hanging="2029"/>
        <w:jc w:val="both"/>
        <w:rPr>
          <w:rFonts w:ascii="Arial" w:hAnsi="Arial" w:cs="Arial"/>
          <w:b/>
        </w:rPr>
      </w:pPr>
      <w:r w:rsidRPr="001F3997">
        <w:rPr>
          <w:rFonts w:ascii="Arial" w:hAnsi="Arial" w:cs="Arial"/>
          <w:b/>
        </w:rPr>
        <w:tab/>
        <w:t>.c</w:t>
      </w:r>
      <w:r w:rsidRPr="001F3997">
        <w:rPr>
          <w:rFonts w:ascii="Arial" w:hAnsi="Arial" w:cs="Arial"/>
          <w:b/>
        </w:rPr>
        <w:tab/>
      </w:r>
      <w:r w:rsidR="00AB2D70" w:rsidRPr="001F3997">
        <w:rPr>
          <w:rFonts w:ascii="Arial" w:hAnsi="Arial" w:cs="Arial"/>
          <w:b/>
        </w:rPr>
        <w:t>the administration of justice;</w:t>
      </w:r>
    </w:p>
    <w:p w:rsidR="00AB2D70" w:rsidRPr="001F3997" w:rsidRDefault="00F82718" w:rsidP="001F3997">
      <w:pPr>
        <w:ind w:left="2160" w:hanging="720"/>
        <w:jc w:val="both"/>
        <w:rPr>
          <w:rFonts w:ascii="Arial" w:hAnsi="Arial" w:cs="Arial"/>
          <w:b/>
        </w:rPr>
      </w:pPr>
      <w:r w:rsidRPr="001F3997">
        <w:rPr>
          <w:rFonts w:ascii="Arial" w:hAnsi="Arial" w:cs="Arial"/>
          <w:b/>
        </w:rPr>
        <w:t xml:space="preserve">. 6 </w:t>
      </w:r>
      <w:r w:rsidRPr="001F3997">
        <w:rPr>
          <w:rFonts w:ascii="Arial" w:hAnsi="Arial" w:cs="Arial"/>
          <w:b/>
        </w:rPr>
        <w:tab/>
      </w:r>
      <w:r w:rsidR="00AB2D70" w:rsidRPr="001F3997">
        <w:rPr>
          <w:rFonts w:ascii="Arial" w:hAnsi="Arial" w:cs="Arial"/>
          <w:b/>
        </w:rPr>
        <w:t xml:space="preserve">Specific consideration needs to be given to any prejudice that is likely to be caused by withdrawal to third parties who are vulnerable (whether clients, other parties or witnesses) </w:t>
      </w:r>
    </w:p>
    <w:p w:rsidR="00AB2D70" w:rsidRPr="001F3997" w:rsidRDefault="00AB2D70" w:rsidP="001F3997">
      <w:pPr>
        <w:ind w:left="2160" w:hanging="720"/>
        <w:jc w:val="both"/>
        <w:rPr>
          <w:rFonts w:ascii="Arial" w:hAnsi="Arial" w:cs="Arial"/>
          <w:b/>
        </w:rPr>
      </w:pPr>
      <w:r w:rsidRPr="001F3997">
        <w:rPr>
          <w:rFonts w:ascii="Arial" w:hAnsi="Arial" w:cs="Arial"/>
          <w:b/>
        </w:rPr>
        <w:t>.</w:t>
      </w:r>
      <w:r w:rsidR="00F82718" w:rsidRPr="001F3997">
        <w:rPr>
          <w:rFonts w:ascii="Arial" w:hAnsi="Arial" w:cs="Arial"/>
          <w:b/>
        </w:rPr>
        <w:t>7</w:t>
      </w:r>
      <w:r w:rsidRPr="001F3997">
        <w:rPr>
          <w:rFonts w:ascii="Arial" w:hAnsi="Arial" w:cs="Arial"/>
          <w:b/>
        </w:rPr>
        <w:tab/>
        <w:t>the nature and extent of any prejudice that is likely to be caused to you if you do not withdraw from the case and the extent to which you have other means of effective redress for the change or default, including redress against any third party.</w:t>
      </w:r>
    </w:p>
    <w:p w:rsidR="008A5612" w:rsidRPr="001F3997" w:rsidRDefault="00AB2D70" w:rsidP="001F3997">
      <w:pPr>
        <w:ind w:left="360"/>
        <w:jc w:val="both"/>
        <w:rPr>
          <w:rFonts w:ascii="Arial" w:hAnsi="Arial" w:cs="Arial"/>
        </w:rPr>
      </w:pPr>
      <w:r w:rsidRPr="001F3997">
        <w:rPr>
          <w:rFonts w:ascii="Arial" w:hAnsi="Arial" w:cs="Arial"/>
        </w:rPr>
        <w:t xml:space="preserve">  </w:t>
      </w:r>
    </w:p>
    <w:p w:rsidR="00624548" w:rsidRPr="001F3997" w:rsidRDefault="00624548" w:rsidP="001F3997">
      <w:pPr>
        <w:pStyle w:val="ListParagraph"/>
        <w:numPr>
          <w:ilvl w:val="0"/>
          <w:numId w:val="11"/>
        </w:numPr>
        <w:jc w:val="both"/>
        <w:rPr>
          <w:rFonts w:ascii="Arial" w:hAnsi="Arial" w:cs="Arial"/>
        </w:rPr>
      </w:pPr>
      <w:r w:rsidRPr="001F3997">
        <w:rPr>
          <w:rFonts w:ascii="Arial" w:hAnsi="Arial" w:cs="Arial"/>
        </w:rPr>
        <w:t xml:space="preserve">The main differences from the current provisions of the </w:t>
      </w:r>
      <w:r w:rsidR="00BB1536" w:rsidRPr="001F3997">
        <w:rPr>
          <w:rFonts w:ascii="Arial" w:hAnsi="Arial" w:cs="Arial"/>
        </w:rPr>
        <w:t>Handbook</w:t>
      </w:r>
      <w:r w:rsidRPr="001F3997">
        <w:rPr>
          <w:rFonts w:ascii="Arial" w:hAnsi="Arial" w:cs="Arial"/>
        </w:rPr>
        <w:t xml:space="preserve"> are:</w:t>
      </w:r>
    </w:p>
    <w:p w:rsidR="00624548" w:rsidRPr="001F3997" w:rsidRDefault="00624548" w:rsidP="001F3997">
      <w:pPr>
        <w:ind w:left="360"/>
        <w:jc w:val="both"/>
        <w:rPr>
          <w:rFonts w:ascii="Arial" w:hAnsi="Arial" w:cs="Arial"/>
        </w:rPr>
      </w:pPr>
    </w:p>
    <w:p w:rsidR="009D2CF3" w:rsidRPr="001F3997" w:rsidRDefault="003E42B4" w:rsidP="001F3997">
      <w:pPr>
        <w:pStyle w:val="ListParagraph"/>
        <w:numPr>
          <w:ilvl w:val="1"/>
          <w:numId w:val="1"/>
        </w:numPr>
        <w:jc w:val="both"/>
        <w:rPr>
          <w:rFonts w:ascii="Arial" w:hAnsi="Arial" w:cs="Arial"/>
        </w:rPr>
      </w:pPr>
      <w:r w:rsidRPr="001F3997">
        <w:rPr>
          <w:rFonts w:ascii="Arial" w:hAnsi="Arial" w:cs="Arial"/>
        </w:rPr>
        <w:t xml:space="preserve">A fundamental change in the basis of remuneration </w:t>
      </w:r>
      <w:r w:rsidR="004E0A89" w:rsidRPr="001F3997">
        <w:rPr>
          <w:rFonts w:ascii="Arial" w:hAnsi="Arial" w:cs="Arial"/>
        </w:rPr>
        <w:t xml:space="preserve">will </w:t>
      </w:r>
      <w:r w:rsidRPr="001F3997">
        <w:rPr>
          <w:rFonts w:ascii="Arial" w:hAnsi="Arial" w:cs="Arial"/>
        </w:rPr>
        <w:t>no</w:t>
      </w:r>
      <w:r w:rsidR="00DB3E52" w:rsidRPr="001F3997">
        <w:rPr>
          <w:rFonts w:ascii="Arial" w:hAnsi="Arial" w:cs="Arial"/>
        </w:rPr>
        <w:t xml:space="preserve"> </w:t>
      </w:r>
      <w:r w:rsidRPr="001F3997">
        <w:rPr>
          <w:rFonts w:ascii="Arial" w:hAnsi="Arial" w:cs="Arial"/>
        </w:rPr>
        <w:t>long</w:t>
      </w:r>
      <w:r w:rsidR="002B79DC" w:rsidRPr="001F3997">
        <w:rPr>
          <w:rFonts w:ascii="Arial" w:hAnsi="Arial" w:cs="Arial"/>
        </w:rPr>
        <w:t>er</w:t>
      </w:r>
      <w:r w:rsidRPr="001F3997">
        <w:rPr>
          <w:rFonts w:ascii="Arial" w:hAnsi="Arial" w:cs="Arial"/>
        </w:rPr>
        <w:t xml:space="preserve"> automa</w:t>
      </w:r>
      <w:r w:rsidR="002B79DC" w:rsidRPr="001F3997">
        <w:rPr>
          <w:rFonts w:ascii="Arial" w:hAnsi="Arial" w:cs="Arial"/>
        </w:rPr>
        <w:t xml:space="preserve">tically entitle a barrister to </w:t>
      </w:r>
      <w:r w:rsidRPr="001F3997">
        <w:rPr>
          <w:rFonts w:ascii="Arial" w:hAnsi="Arial" w:cs="Arial"/>
        </w:rPr>
        <w:t>treat the instructions as having been withdrawn by the client</w:t>
      </w:r>
      <w:r w:rsidR="002E27CC" w:rsidRPr="001F3997">
        <w:rPr>
          <w:rFonts w:ascii="Arial" w:hAnsi="Arial" w:cs="Arial"/>
        </w:rPr>
        <w:t xml:space="preserve"> and hence he should cease to act</w:t>
      </w:r>
      <w:r w:rsidRPr="001F3997">
        <w:rPr>
          <w:rFonts w:ascii="Arial" w:hAnsi="Arial" w:cs="Arial"/>
        </w:rPr>
        <w:t xml:space="preserve">.  </w:t>
      </w:r>
    </w:p>
    <w:p w:rsidR="00830FE4" w:rsidRPr="001F3997" w:rsidRDefault="00830FE4" w:rsidP="001F3997">
      <w:pPr>
        <w:pStyle w:val="ListParagraph"/>
        <w:ind w:left="1440"/>
        <w:jc w:val="both"/>
        <w:rPr>
          <w:rFonts w:ascii="Arial" w:hAnsi="Arial" w:cs="Arial"/>
        </w:rPr>
      </w:pPr>
    </w:p>
    <w:p w:rsidR="00611F62" w:rsidRPr="001F3997" w:rsidRDefault="00206D57" w:rsidP="001F3997">
      <w:pPr>
        <w:pStyle w:val="ListParagraph"/>
        <w:numPr>
          <w:ilvl w:val="1"/>
          <w:numId w:val="1"/>
        </w:numPr>
        <w:jc w:val="both"/>
        <w:rPr>
          <w:rFonts w:ascii="Arial" w:hAnsi="Arial" w:cs="Arial"/>
        </w:rPr>
      </w:pPr>
      <w:r w:rsidRPr="001F3997">
        <w:rPr>
          <w:rFonts w:ascii="Arial" w:hAnsi="Arial" w:cs="Arial"/>
        </w:rPr>
        <w:t>Barristers must consider who is actually responsible for any breach of agreed terms including remuneration.  Due consideration must also be given to the client</w:t>
      </w:r>
      <w:r w:rsidR="00DB3E52" w:rsidRPr="001F3997">
        <w:rPr>
          <w:rFonts w:ascii="Arial" w:hAnsi="Arial" w:cs="Arial"/>
        </w:rPr>
        <w:t>’</w:t>
      </w:r>
      <w:r w:rsidRPr="001F3997">
        <w:rPr>
          <w:rFonts w:ascii="Arial" w:hAnsi="Arial" w:cs="Arial"/>
        </w:rPr>
        <w:t xml:space="preserve">s awareness of both the breach and implications for their continued representation.   </w:t>
      </w:r>
    </w:p>
    <w:p w:rsidR="00611F62" w:rsidRPr="001F3997" w:rsidRDefault="00611F62" w:rsidP="001F3997">
      <w:pPr>
        <w:pStyle w:val="ListParagraph"/>
        <w:jc w:val="both"/>
        <w:rPr>
          <w:rFonts w:ascii="Arial" w:hAnsi="Arial" w:cs="Arial"/>
        </w:rPr>
      </w:pPr>
    </w:p>
    <w:p w:rsidR="00830FE4" w:rsidRPr="001F3997" w:rsidRDefault="00830FE4" w:rsidP="001F3997">
      <w:pPr>
        <w:pStyle w:val="ListParagraph"/>
        <w:numPr>
          <w:ilvl w:val="1"/>
          <w:numId w:val="1"/>
        </w:numPr>
        <w:jc w:val="both"/>
        <w:rPr>
          <w:rFonts w:ascii="Arial" w:hAnsi="Arial" w:cs="Arial"/>
        </w:rPr>
      </w:pPr>
      <w:r w:rsidRPr="001F3997">
        <w:rPr>
          <w:rFonts w:ascii="Arial" w:hAnsi="Arial" w:cs="Arial"/>
        </w:rPr>
        <w:t xml:space="preserve">An obligation </w:t>
      </w:r>
      <w:r w:rsidR="00611F62" w:rsidRPr="001F3997">
        <w:rPr>
          <w:rFonts w:ascii="Arial" w:hAnsi="Arial" w:cs="Arial"/>
        </w:rPr>
        <w:t xml:space="preserve">for a barrister fully </w:t>
      </w:r>
      <w:r w:rsidR="00BB1536" w:rsidRPr="001F3997">
        <w:rPr>
          <w:rFonts w:ascii="Arial" w:hAnsi="Arial" w:cs="Arial"/>
        </w:rPr>
        <w:t xml:space="preserve">to </w:t>
      </w:r>
      <w:r w:rsidR="00611F62" w:rsidRPr="001F3997">
        <w:rPr>
          <w:rFonts w:ascii="Arial" w:hAnsi="Arial" w:cs="Arial"/>
        </w:rPr>
        <w:t xml:space="preserve">consider </w:t>
      </w:r>
      <w:r w:rsidRPr="001F3997">
        <w:rPr>
          <w:rFonts w:ascii="Arial" w:hAnsi="Arial" w:cs="Arial"/>
        </w:rPr>
        <w:t xml:space="preserve">the </w:t>
      </w:r>
      <w:r w:rsidR="00611F62" w:rsidRPr="001F3997">
        <w:rPr>
          <w:rFonts w:ascii="Arial" w:hAnsi="Arial" w:cs="Arial"/>
        </w:rPr>
        <w:t xml:space="preserve">wider </w:t>
      </w:r>
      <w:r w:rsidRPr="001F3997">
        <w:rPr>
          <w:rFonts w:ascii="Arial" w:hAnsi="Arial" w:cs="Arial"/>
        </w:rPr>
        <w:t xml:space="preserve">impact of </w:t>
      </w:r>
      <w:r w:rsidR="00611F62" w:rsidRPr="001F3997">
        <w:rPr>
          <w:rFonts w:ascii="Arial" w:hAnsi="Arial" w:cs="Arial"/>
        </w:rPr>
        <w:t xml:space="preserve">withdrawal including to the lay client, the administration of justice and other parties affected by the case.  </w:t>
      </w:r>
      <w:r w:rsidR="009A5D09" w:rsidRPr="001F3997">
        <w:rPr>
          <w:rFonts w:ascii="Arial" w:hAnsi="Arial" w:cs="Arial"/>
        </w:rPr>
        <w:t>Specific consideration must be given to any person impacted by the withdrawal who is vulnerable</w:t>
      </w:r>
      <w:r w:rsidR="00DB3E52" w:rsidRPr="001F3997">
        <w:rPr>
          <w:rFonts w:ascii="Arial" w:hAnsi="Arial" w:cs="Arial"/>
        </w:rPr>
        <w:t>.</w:t>
      </w:r>
      <w:r w:rsidR="009A5D09" w:rsidRPr="001F3997">
        <w:rPr>
          <w:rFonts w:ascii="Arial" w:hAnsi="Arial" w:cs="Arial"/>
        </w:rPr>
        <w:t xml:space="preserve"> </w:t>
      </w:r>
    </w:p>
    <w:p w:rsidR="00A80EE9" w:rsidRPr="001F3997" w:rsidRDefault="00A80EE9" w:rsidP="001F3997">
      <w:pPr>
        <w:pStyle w:val="ListParagraph"/>
        <w:ind w:left="1440"/>
        <w:jc w:val="both"/>
        <w:rPr>
          <w:rFonts w:ascii="Arial" w:hAnsi="Arial" w:cs="Arial"/>
        </w:rPr>
      </w:pPr>
    </w:p>
    <w:p w:rsidR="003E42B4" w:rsidRPr="001F3997" w:rsidRDefault="00971609" w:rsidP="001F3997">
      <w:pPr>
        <w:pStyle w:val="ListParagraph"/>
        <w:numPr>
          <w:ilvl w:val="1"/>
          <w:numId w:val="1"/>
        </w:numPr>
        <w:jc w:val="both"/>
        <w:rPr>
          <w:rFonts w:ascii="Arial" w:hAnsi="Arial" w:cs="Arial"/>
        </w:rPr>
      </w:pPr>
      <w:r w:rsidRPr="001F3997">
        <w:rPr>
          <w:rFonts w:ascii="Arial" w:hAnsi="Arial" w:cs="Arial"/>
        </w:rPr>
        <w:lastRenderedPageBreak/>
        <w:t xml:space="preserve">The addition of new </w:t>
      </w:r>
      <w:r w:rsidR="00A80EE9" w:rsidRPr="001F3997">
        <w:rPr>
          <w:rFonts w:ascii="Arial" w:hAnsi="Arial" w:cs="Arial"/>
        </w:rPr>
        <w:t xml:space="preserve">grounds to return instructions on the basis of a substantial failure to meet contractual terms by the client.  </w:t>
      </w:r>
    </w:p>
    <w:p w:rsidR="008776F0" w:rsidRPr="001F3997" w:rsidRDefault="008776F0" w:rsidP="001F3997">
      <w:pPr>
        <w:pStyle w:val="ListParagraph"/>
        <w:jc w:val="both"/>
        <w:rPr>
          <w:rFonts w:ascii="Arial" w:hAnsi="Arial" w:cs="Arial"/>
        </w:rPr>
      </w:pPr>
    </w:p>
    <w:p w:rsidR="00A80EE9" w:rsidRPr="001F3997" w:rsidRDefault="00BE1F72" w:rsidP="001F3997">
      <w:pPr>
        <w:pStyle w:val="ListParagraph"/>
        <w:numPr>
          <w:ilvl w:val="1"/>
          <w:numId w:val="1"/>
        </w:numPr>
        <w:jc w:val="both"/>
        <w:rPr>
          <w:rFonts w:ascii="Arial" w:hAnsi="Arial" w:cs="Arial"/>
        </w:rPr>
      </w:pPr>
      <w:r w:rsidRPr="001F3997">
        <w:rPr>
          <w:rFonts w:ascii="Arial" w:hAnsi="Arial" w:cs="Arial"/>
        </w:rPr>
        <w:t xml:space="preserve">Guidance on </w:t>
      </w:r>
      <w:r w:rsidR="00AB4CA8" w:rsidRPr="001F3997">
        <w:rPr>
          <w:rFonts w:ascii="Arial" w:hAnsi="Arial" w:cs="Arial"/>
        </w:rPr>
        <w:t xml:space="preserve">the applicability of </w:t>
      </w:r>
      <w:r w:rsidR="0044080D" w:rsidRPr="001F3997">
        <w:rPr>
          <w:rFonts w:ascii="Arial" w:hAnsi="Arial" w:cs="Arial"/>
        </w:rPr>
        <w:t xml:space="preserve">Rule </w:t>
      </w:r>
      <w:r w:rsidRPr="001F3997">
        <w:rPr>
          <w:rFonts w:ascii="Arial" w:hAnsi="Arial" w:cs="Arial"/>
        </w:rPr>
        <w:t>C</w:t>
      </w:r>
      <w:r w:rsidR="0044080D" w:rsidRPr="001F3997">
        <w:rPr>
          <w:rFonts w:ascii="Arial" w:hAnsi="Arial" w:cs="Arial"/>
        </w:rPr>
        <w:t>29</w:t>
      </w:r>
      <w:r w:rsidR="003D08EA" w:rsidRPr="001F3997">
        <w:rPr>
          <w:rFonts w:ascii="Arial" w:hAnsi="Arial" w:cs="Arial"/>
        </w:rPr>
        <w:t xml:space="preserve"> (cab rank)</w:t>
      </w:r>
      <w:r w:rsidRPr="001F3997">
        <w:rPr>
          <w:rFonts w:ascii="Arial" w:hAnsi="Arial" w:cs="Arial"/>
        </w:rPr>
        <w:t>,</w:t>
      </w:r>
      <w:r w:rsidR="003D1702" w:rsidRPr="001F3997">
        <w:rPr>
          <w:rFonts w:ascii="Arial" w:hAnsi="Arial" w:cs="Arial"/>
        </w:rPr>
        <w:t xml:space="preserve"> following a </w:t>
      </w:r>
      <w:r w:rsidRPr="001F3997">
        <w:rPr>
          <w:rFonts w:ascii="Arial" w:hAnsi="Arial" w:cs="Arial"/>
        </w:rPr>
        <w:t>withdrawal of instructions, to accept further instructions on the same matter h</w:t>
      </w:r>
      <w:r w:rsidR="002B79DC" w:rsidRPr="001F3997">
        <w:rPr>
          <w:rFonts w:ascii="Arial" w:hAnsi="Arial" w:cs="Arial"/>
        </w:rPr>
        <w:t xml:space="preserve">as been deleted.  It is intended that </w:t>
      </w:r>
      <w:r w:rsidR="003D1702" w:rsidRPr="001F3997">
        <w:rPr>
          <w:rFonts w:ascii="Arial" w:hAnsi="Arial" w:cs="Arial"/>
        </w:rPr>
        <w:t xml:space="preserve">should </w:t>
      </w:r>
      <w:r w:rsidR="002B79DC" w:rsidRPr="001F3997">
        <w:rPr>
          <w:rFonts w:ascii="Arial" w:hAnsi="Arial" w:cs="Arial"/>
        </w:rPr>
        <w:t xml:space="preserve">new instructions, on the same matter, </w:t>
      </w:r>
      <w:r w:rsidR="003D1702" w:rsidRPr="001F3997">
        <w:rPr>
          <w:rFonts w:ascii="Arial" w:hAnsi="Arial" w:cs="Arial"/>
        </w:rPr>
        <w:t xml:space="preserve">be </w:t>
      </w:r>
      <w:r w:rsidR="002B79DC" w:rsidRPr="001F3997">
        <w:rPr>
          <w:rFonts w:ascii="Arial" w:hAnsi="Arial" w:cs="Arial"/>
        </w:rPr>
        <w:t xml:space="preserve">offered that </w:t>
      </w:r>
      <w:r w:rsidR="003D1702" w:rsidRPr="001F3997">
        <w:rPr>
          <w:rFonts w:ascii="Arial" w:hAnsi="Arial" w:cs="Arial"/>
        </w:rPr>
        <w:t xml:space="preserve">rC29 will </w:t>
      </w:r>
      <w:r w:rsidR="002B79DC" w:rsidRPr="001F3997">
        <w:rPr>
          <w:rFonts w:ascii="Arial" w:hAnsi="Arial" w:cs="Arial"/>
        </w:rPr>
        <w:t>apply and further guidance is not therefore required.</w:t>
      </w:r>
    </w:p>
    <w:p w:rsidR="00144142" w:rsidRPr="001F3997" w:rsidRDefault="00144142" w:rsidP="001F3997">
      <w:pPr>
        <w:jc w:val="both"/>
        <w:rPr>
          <w:rFonts w:ascii="Arial" w:hAnsi="Arial" w:cs="Arial"/>
        </w:rPr>
      </w:pPr>
      <w:r w:rsidRPr="001F3997">
        <w:rPr>
          <w:rFonts w:ascii="Arial" w:hAnsi="Arial" w:cs="Arial"/>
        </w:rPr>
        <w:br w:type="page"/>
      </w:r>
    </w:p>
    <w:p w:rsidR="004E0A89" w:rsidRPr="001F3997" w:rsidRDefault="00144142" w:rsidP="001F3997">
      <w:pPr>
        <w:jc w:val="both"/>
        <w:rPr>
          <w:rFonts w:ascii="Arial" w:hAnsi="Arial" w:cs="Arial"/>
          <w:b/>
        </w:rPr>
      </w:pPr>
      <w:r w:rsidRPr="001F3997">
        <w:rPr>
          <w:rFonts w:ascii="Arial" w:hAnsi="Arial" w:cs="Arial"/>
          <w:b/>
        </w:rPr>
        <w:lastRenderedPageBreak/>
        <w:t>Consultation questions</w:t>
      </w:r>
      <w:r w:rsidR="00AB2D2C" w:rsidRPr="001F3997">
        <w:rPr>
          <w:rFonts w:ascii="Arial" w:hAnsi="Arial" w:cs="Arial"/>
          <w:b/>
        </w:rPr>
        <w:t xml:space="preserve"> and how to respond</w:t>
      </w:r>
    </w:p>
    <w:p w:rsidR="004E0A89" w:rsidRPr="001F3997" w:rsidRDefault="00FA6D70" w:rsidP="001F3997">
      <w:pPr>
        <w:jc w:val="both"/>
        <w:rPr>
          <w:rFonts w:ascii="Arial" w:hAnsi="Arial" w:cs="Arial"/>
          <w:b/>
        </w:rPr>
      </w:pPr>
      <w:r w:rsidRPr="001F3997">
        <w:rPr>
          <w:rFonts w:ascii="Arial" w:hAnsi="Arial" w:cs="Arial"/>
          <w:b/>
        </w:rPr>
        <w:t>Question</w:t>
      </w:r>
      <w:r w:rsidR="003D08EA" w:rsidRPr="001F3997">
        <w:rPr>
          <w:rFonts w:ascii="Arial" w:hAnsi="Arial" w:cs="Arial"/>
          <w:b/>
        </w:rPr>
        <w:t xml:space="preserve"> One:</w:t>
      </w:r>
    </w:p>
    <w:p w:rsidR="00F82718" w:rsidRPr="001F3997" w:rsidRDefault="00F82718" w:rsidP="001F3997">
      <w:pPr>
        <w:jc w:val="both"/>
        <w:rPr>
          <w:rFonts w:ascii="Arial" w:hAnsi="Arial" w:cs="Arial"/>
        </w:rPr>
      </w:pPr>
      <w:r w:rsidRPr="001F3997">
        <w:rPr>
          <w:rFonts w:ascii="Arial" w:hAnsi="Arial" w:cs="Arial"/>
        </w:rPr>
        <w:t>Have we adequately identified the risks to clients, the administration of justice, third parties and the wider public interest where a barrister withdraws from a case?  Are there any additional impacts or any unintended consequences arising from this guidance?</w:t>
      </w:r>
    </w:p>
    <w:p w:rsidR="003D08EA" w:rsidRPr="001F3997" w:rsidRDefault="003D08EA" w:rsidP="001F3997">
      <w:pPr>
        <w:jc w:val="both"/>
        <w:rPr>
          <w:rFonts w:ascii="Arial" w:hAnsi="Arial" w:cs="Arial"/>
          <w:b/>
        </w:rPr>
      </w:pPr>
      <w:r w:rsidRPr="001F3997">
        <w:rPr>
          <w:rFonts w:ascii="Arial" w:hAnsi="Arial" w:cs="Arial"/>
          <w:b/>
        </w:rPr>
        <w:t xml:space="preserve">Question Two: </w:t>
      </w:r>
    </w:p>
    <w:p w:rsidR="00BB6C8A" w:rsidRPr="001F3997" w:rsidRDefault="004E2272" w:rsidP="001F3997">
      <w:pPr>
        <w:jc w:val="both"/>
        <w:rPr>
          <w:rFonts w:ascii="Arial" w:hAnsi="Arial" w:cs="Arial"/>
        </w:rPr>
      </w:pPr>
      <w:r w:rsidRPr="001F3997">
        <w:rPr>
          <w:rFonts w:ascii="Arial" w:hAnsi="Arial" w:cs="Arial"/>
        </w:rPr>
        <w:t>A</w:t>
      </w:r>
      <w:r w:rsidR="000D479F" w:rsidRPr="001F3997">
        <w:rPr>
          <w:rFonts w:ascii="Arial" w:hAnsi="Arial" w:cs="Arial"/>
        </w:rPr>
        <w:t xml:space="preserve">re the additional considerations included in gC87 </w:t>
      </w:r>
      <w:r w:rsidR="00B02E3B" w:rsidRPr="001F3997">
        <w:rPr>
          <w:rFonts w:ascii="Arial" w:hAnsi="Arial" w:cs="Arial"/>
        </w:rPr>
        <w:t>.</w:t>
      </w:r>
      <w:r w:rsidR="000D479F" w:rsidRPr="001F3997">
        <w:rPr>
          <w:rFonts w:ascii="Arial" w:hAnsi="Arial" w:cs="Arial"/>
        </w:rPr>
        <w:t xml:space="preserve">1 - </w:t>
      </w:r>
      <w:r w:rsidR="00B02E3B" w:rsidRPr="001F3997">
        <w:rPr>
          <w:rFonts w:ascii="Arial" w:hAnsi="Arial" w:cs="Arial"/>
        </w:rPr>
        <w:t>.</w:t>
      </w:r>
      <w:r w:rsidR="00F82718" w:rsidRPr="001F3997">
        <w:rPr>
          <w:rFonts w:ascii="Arial" w:hAnsi="Arial" w:cs="Arial"/>
        </w:rPr>
        <w:t>7</w:t>
      </w:r>
      <w:r w:rsidR="000D479F" w:rsidRPr="001F3997">
        <w:rPr>
          <w:rFonts w:ascii="Arial" w:hAnsi="Arial" w:cs="Arial"/>
        </w:rPr>
        <w:t xml:space="preserve"> adequate to assist </w:t>
      </w:r>
      <w:r w:rsidR="00E44D21" w:rsidRPr="001F3997">
        <w:rPr>
          <w:rFonts w:ascii="Arial" w:hAnsi="Arial" w:cs="Arial"/>
        </w:rPr>
        <w:t xml:space="preserve">a barrister in </w:t>
      </w:r>
      <w:r w:rsidR="000D479F" w:rsidRPr="001F3997">
        <w:rPr>
          <w:rFonts w:ascii="Arial" w:hAnsi="Arial" w:cs="Arial"/>
        </w:rPr>
        <w:t xml:space="preserve">deciding whether or not </w:t>
      </w:r>
      <w:r w:rsidR="00E44D21" w:rsidRPr="001F3997">
        <w:rPr>
          <w:rFonts w:ascii="Arial" w:hAnsi="Arial" w:cs="Arial"/>
        </w:rPr>
        <w:t xml:space="preserve">they would be </w:t>
      </w:r>
      <w:r w:rsidR="000D479F" w:rsidRPr="001F3997">
        <w:rPr>
          <w:rFonts w:ascii="Arial" w:hAnsi="Arial" w:cs="Arial"/>
        </w:rPr>
        <w:t xml:space="preserve">justified in withdrawing?  </w:t>
      </w:r>
    </w:p>
    <w:p w:rsidR="003D08EA" w:rsidRPr="001F3997" w:rsidRDefault="003D08EA" w:rsidP="001F3997">
      <w:pPr>
        <w:jc w:val="both"/>
        <w:rPr>
          <w:rFonts w:ascii="Arial" w:hAnsi="Arial" w:cs="Arial"/>
          <w:b/>
        </w:rPr>
      </w:pPr>
      <w:r w:rsidRPr="001F3997">
        <w:rPr>
          <w:rFonts w:ascii="Arial" w:hAnsi="Arial" w:cs="Arial"/>
          <w:b/>
        </w:rPr>
        <w:t>Question Three:</w:t>
      </w:r>
    </w:p>
    <w:p w:rsidR="00F82718" w:rsidRPr="001F3997" w:rsidRDefault="00F82718" w:rsidP="001F3997">
      <w:pPr>
        <w:jc w:val="both"/>
        <w:rPr>
          <w:rFonts w:ascii="Arial" w:hAnsi="Arial" w:cs="Arial"/>
        </w:rPr>
      </w:pPr>
      <w:r w:rsidRPr="001F3997">
        <w:rPr>
          <w:rFonts w:ascii="Arial" w:hAnsi="Arial" w:cs="Arial"/>
        </w:rPr>
        <w:t xml:space="preserve">Do you consider it proportionate to remove the automatic assumption in guidance that instructions are withdrawn if there is a fundamental change in remuneration? </w:t>
      </w:r>
      <w:r w:rsidR="00717D29" w:rsidRPr="001F3997">
        <w:rPr>
          <w:rFonts w:ascii="Arial" w:hAnsi="Arial" w:cs="Arial"/>
        </w:rPr>
        <w:t xml:space="preserve"> Does the revised guidance achieve the right balance between the interests of the barrister and of clients, witnesses and the interests of justice? </w:t>
      </w:r>
      <w:r w:rsidRPr="001F3997">
        <w:rPr>
          <w:rFonts w:ascii="Arial" w:hAnsi="Arial" w:cs="Arial"/>
        </w:rPr>
        <w:t xml:space="preserve"> If not what safeguards would you propose to protect the wider public interest?</w:t>
      </w:r>
    </w:p>
    <w:p w:rsidR="003D08EA" w:rsidRPr="001F3997" w:rsidRDefault="003D08EA" w:rsidP="001F3997">
      <w:pPr>
        <w:jc w:val="both"/>
        <w:rPr>
          <w:rFonts w:ascii="Arial" w:hAnsi="Arial" w:cs="Arial"/>
          <w:b/>
        </w:rPr>
      </w:pPr>
      <w:r w:rsidRPr="001F3997">
        <w:rPr>
          <w:rFonts w:ascii="Arial" w:hAnsi="Arial" w:cs="Arial"/>
          <w:b/>
        </w:rPr>
        <w:t>Question Four:</w:t>
      </w:r>
    </w:p>
    <w:p w:rsidR="004C0BF5" w:rsidRPr="001F3997" w:rsidRDefault="00376BC8" w:rsidP="001F3997">
      <w:pPr>
        <w:jc w:val="both"/>
        <w:rPr>
          <w:rFonts w:ascii="Arial" w:hAnsi="Arial" w:cs="Arial"/>
        </w:rPr>
      </w:pPr>
      <w:r w:rsidRPr="001F3997">
        <w:rPr>
          <w:rFonts w:ascii="Arial" w:hAnsi="Arial" w:cs="Arial"/>
        </w:rPr>
        <w:t>Are there any further matters the BSB should take into account that are relevant to this guidance?</w:t>
      </w:r>
      <w:r w:rsidR="009D5C08" w:rsidRPr="001F3997">
        <w:rPr>
          <w:rFonts w:ascii="Arial" w:hAnsi="Arial" w:cs="Arial"/>
        </w:rPr>
        <w:t xml:space="preserve">  </w:t>
      </w:r>
    </w:p>
    <w:p w:rsidR="001608AD" w:rsidRPr="001F3997" w:rsidRDefault="001608AD" w:rsidP="001F3997">
      <w:pPr>
        <w:jc w:val="both"/>
        <w:rPr>
          <w:rFonts w:ascii="Arial" w:hAnsi="Arial" w:cs="Arial"/>
        </w:rPr>
      </w:pPr>
    </w:p>
    <w:p w:rsidR="007D327D" w:rsidRPr="001F3997" w:rsidRDefault="007D327D" w:rsidP="001F3997">
      <w:pPr>
        <w:jc w:val="both"/>
        <w:rPr>
          <w:rFonts w:ascii="Arial" w:hAnsi="Arial" w:cs="Arial"/>
          <w:u w:val="single"/>
        </w:rPr>
      </w:pPr>
      <w:r w:rsidRPr="001F3997">
        <w:rPr>
          <w:rFonts w:ascii="Arial" w:hAnsi="Arial" w:cs="Arial"/>
          <w:u w:val="single"/>
        </w:rPr>
        <w:t>How to respond</w:t>
      </w:r>
    </w:p>
    <w:p w:rsidR="007D327D" w:rsidRPr="001F3997" w:rsidRDefault="007D327D" w:rsidP="001F3997">
      <w:pPr>
        <w:pStyle w:val="ListParagraph"/>
        <w:numPr>
          <w:ilvl w:val="0"/>
          <w:numId w:val="11"/>
        </w:numPr>
        <w:spacing w:after="200" w:line="276" w:lineRule="auto"/>
        <w:jc w:val="both"/>
        <w:rPr>
          <w:rFonts w:ascii="Arial" w:hAnsi="Arial" w:cs="Arial"/>
        </w:rPr>
      </w:pPr>
      <w:r w:rsidRPr="001F3997">
        <w:rPr>
          <w:rFonts w:ascii="Arial" w:hAnsi="Arial" w:cs="Arial"/>
        </w:rPr>
        <w:t>If you wish to respond, please complete the response form at the end of this document and email it to:</w:t>
      </w:r>
    </w:p>
    <w:p w:rsidR="007D327D" w:rsidRPr="001F3997" w:rsidRDefault="007D327D" w:rsidP="001F3997">
      <w:pPr>
        <w:pStyle w:val="ListParagraph"/>
        <w:jc w:val="both"/>
        <w:rPr>
          <w:rFonts w:ascii="Arial" w:hAnsi="Arial" w:cs="Arial"/>
        </w:rPr>
      </w:pPr>
    </w:p>
    <w:p w:rsidR="0097256A" w:rsidRPr="001F3997" w:rsidRDefault="007C209E" w:rsidP="001F3997">
      <w:pPr>
        <w:pStyle w:val="ListParagraph"/>
        <w:jc w:val="both"/>
        <w:rPr>
          <w:rFonts w:ascii="Arial" w:hAnsi="Arial" w:cs="Arial"/>
        </w:rPr>
      </w:pPr>
      <w:hyperlink r:id="rId8" w:history="1">
        <w:r w:rsidR="0097256A" w:rsidRPr="001F3997">
          <w:rPr>
            <w:rStyle w:val="Hyperlink"/>
            <w:rFonts w:ascii="Arial" w:hAnsi="Arial" w:cs="Arial"/>
          </w:rPr>
          <w:t>rpragnell@barstandardsboard.org.uk</w:t>
        </w:r>
      </w:hyperlink>
      <w:r w:rsidR="0097256A" w:rsidRPr="001F3997">
        <w:rPr>
          <w:rFonts w:ascii="Arial" w:hAnsi="Arial" w:cs="Arial"/>
        </w:rPr>
        <w:t xml:space="preserve"> </w:t>
      </w:r>
    </w:p>
    <w:p w:rsidR="007D327D" w:rsidRPr="001F3997" w:rsidRDefault="007D327D" w:rsidP="001F3997">
      <w:pPr>
        <w:pStyle w:val="ListParagraph"/>
        <w:jc w:val="both"/>
        <w:rPr>
          <w:rFonts w:ascii="Arial" w:hAnsi="Arial" w:cs="Arial"/>
        </w:rPr>
      </w:pPr>
    </w:p>
    <w:p w:rsidR="007D327D" w:rsidRPr="001F3997" w:rsidRDefault="007D327D" w:rsidP="001F3997">
      <w:pPr>
        <w:pStyle w:val="ListParagraph"/>
        <w:jc w:val="both"/>
        <w:rPr>
          <w:rFonts w:ascii="Arial" w:hAnsi="Arial" w:cs="Arial"/>
        </w:rPr>
      </w:pPr>
      <w:r w:rsidRPr="001F3997">
        <w:rPr>
          <w:rFonts w:ascii="Arial" w:hAnsi="Arial" w:cs="Arial"/>
        </w:rPr>
        <w:t>Alternatively, you can post completed forms to:</w:t>
      </w:r>
    </w:p>
    <w:p w:rsidR="007D327D" w:rsidRPr="001F3997" w:rsidRDefault="007D327D" w:rsidP="001F3997">
      <w:pPr>
        <w:pStyle w:val="ListParagraph"/>
        <w:jc w:val="both"/>
        <w:rPr>
          <w:rFonts w:ascii="Arial" w:hAnsi="Arial" w:cs="Arial"/>
        </w:rPr>
      </w:pPr>
    </w:p>
    <w:p w:rsidR="0097256A" w:rsidRPr="001F3997" w:rsidRDefault="0097256A" w:rsidP="001F3997">
      <w:pPr>
        <w:pStyle w:val="ListParagraph"/>
        <w:jc w:val="both"/>
        <w:rPr>
          <w:rFonts w:ascii="Arial" w:hAnsi="Arial" w:cs="Arial"/>
        </w:rPr>
      </w:pPr>
      <w:r w:rsidRPr="001F3997">
        <w:rPr>
          <w:rFonts w:ascii="Arial" w:hAnsi="Arial" w:cs="Arial"/>
        </w:rPr>
        <w:t>T</w:t>
      </w:r>
      <w:r w:rsidR="007D327D" w:rsidRPr="001F3997">
        <w:rPr>
          <w:rFonts w:ascii="Arial" w:hAnsi="Arial" w:cs="Arial"/>
        </w:rPr>
        <w:t>he Bar Standards Board</w:t>
      </w:r>
      <w:r w:rsidRPr="001F3997">
        <w:rPr>
          <w:rFonts w:ascii="Arial" w:hAnsi="Arial" w:cs="Arial"/>
        </w:rPr>
        <w:t xml:space="preserve"> </w:t>
      </w:r>
    </w:p>
    <w:p w:rsidR="007D327D" w:rsidRPr="001F3997" w:rsidRDefault="0097256A" w:rsidP="001F3997">
      <w:pPr>
        <w:pStyle w:val="ListParagraph"/>
        <w:jc w:val="both"/>
        <w:rPr>
          <w:rFonts w:ascii="Arial" w:hAnsi="Arial" w:cs="Arial"/>
        </w:rPr>
      </w:pPr>
      <w:r w:rsidRPr="001F3997">
        <w:rPr>
          <w:rFonts w:ascii="Arial" w:hAnsi="Arial" w:cs="Arial"/>
        </w:rPr>
        <w:t xml:space="preserve">Regulatory Policy Team </w:t>
      </w:r>
    </w:p>
    <w:p w:rsidR="0097256A" w:rsidRPr="001F3997" w:rsidRDefault="007D327D" w:rsidP="001F3997">
      <w:pPr>
        <w:pStyle w:val="ListParagraph"/>
        <w:jc w:val="both"/>
        <w:rPr>
          <w:rFonts w:ascii="Arial" w:hAnsi="Arial" w:cs="Arial"/>
        </w:rPr>
      </w:pPr>
      <w:r w:rsidRPr="001F3997">
        <w:rPr>
          <w:rFonts w:ascii="Arial" w:hAnsi="Arial" w:cs="Arial"/>
        </w:rPr>
        <w:t>289-293 High Holborn</w:t>
      </w:r>
    </w:p>
    <w:p w:rsidR="007D327D" w:rsidRPr="001F3997" w:rsidRDefault="007D327D" w:rsidP="001F3997">
      <w:pPr>
        <w:pStyle w:val="ListParagraph"/>
        <w:jc w:val="both"/>
        <w:rPr>
          <w:rFonts w:ascii="Arial" w:hAnsi="Arial" w:cs="Arial"/>
        </w:rPr>
      </w:pPr>
      <w:r w:rsidRPr="001F3997">
        <w:rPr>
          <w:rFonts w:ascii="Arial" w:hAnsi="Arial" w:cs="Arial"/>
        </w:rPr>
        <w:t>London</w:t>
      </w:r>
    </w:p>
    <w:p w:rsidR="007D327D" w:rsidRPr="001F3997" w:rsidRDefault="007D327D" w:rsidP="001F3997">
      <w:pPr>
        <w:pStyle w:val="ListParagraph"/>
        <w:jc w:val="both"/>
        <w:rPr>
          <w:rFonts w:ascii="Arial" w:hAnsi="Arial" w:cs="Arial"/>
        </w:rPr>
      </w:pPr>
      <w:r w:rsidRPr="001F3997">
        <w:rPr>
          <w:rFonts w:ascii="Arial" w:hAnsi="Arial" w:cs="Arial"/>
        </w:rPr>
        <w:t>WC1V 7HZ</w:t>
      </w:r>
    </w:p>
    <w:p w:rsidR="007D327D" w:rsidRPr="001F3997" w:rsidRDefault="007D327D" w:rsidP="001F3997">
      <w:pPr>
        <w:pStyle w:val="ListParagraph"/>
        <w:jc w:val="both"/>
        <w:rPr>
          <w:rFonts w:ascii="Arial" w:hAnsi="Arial" w:cs="Arial"/>
        </w:rPr>
      </w:pPr>
    </w:p>
    <w:p w:rsidR="007D327D" w:rsidRPr="001F3997" w:rsidRDefault="007D327D" w:rsidP="001F3997">
      <w:pPr>
        <w:pStyle w:val="ListParagraph"/>
        <w:jc w:val="both"/>
        <w:rPr>
          <w:rFonts w:ascii="Arial" w:hAnsi="Arial" w:cs="Arial"/>
          <w:b/>
        </w:rPr>
      </w:pPr>
      <w:r w:rsidRPr="001F3997">
        <w:rPr>
          <w:rFonts w:ascii="Arial" w:hAnsi="Arial" w:cs="Arial"/>
          <w:b/>
        </w:rPr>
        <w:t xml:space="preserve">The deadline for responses is </w:t>
      </w:r>
      <w:r w:rsidR="0097256A" w:rsidRPr="001F3997">
        <w:rPr>
          <w:rFonts w:ascii="Arial" w:hAnsi="Arial" w:cs="Arial"/>
          <w:b/>
        </w:rPr>
        <w:t xml:space="preserve">25 April </w:t>
      </w:r>
      <w:r w:rsidRPr="001F3997">
        <w:rPr>
          <w:rFonts w:ascii="Arial" w:hAnsi="Arial" w:cs="Arial"/>
          <w:b/>
        </w:rPr>
        <w:t xml:space="preserve">2014. </w:t>
      </w:r>
    </w:p>
    <w:p w:rsidR="00D12A2A" w:rsidRPr="001F3997" w:rsidRDefault="008C5C95" w:rsidP="001F3997">
      <w:pPr>
        <w:jc w:val="both"/>
        <w:rPr>
          <w:rFonts w:ascii="Arial" w:hAnsi="Arial" w:cs="Arial"/>
        </w:rPr>
      </w:pPr>
      <w:r w:rsidRPr="001F3997">
        <w:rPr>
          <w:rFonts w:ascii="Arial" w:hAnsi="Arial" w:cs="Arial"/>
        </w:rPr>
        <w:br w:type="page"/>
      </w:r>
      <w:r w:rsidR="00D12A2A" w:rsidRPr="001F3997">
        <w:rPr>
          <w:rFonts w:ascii="Arial" w:hAnsi="Arial" w:cs="Arial"/>
          <w:b/>
        </w:rPr>
        <w:lastRenderedPageBreak/>
        <w:t>CONSULTATION RESPONSE FORM:</w:t>
      </w:r>
    </w:p>
    <w:p w:rsidR="008C5C95" w:rsidRPr="001F3997" w:rsidRDefault="008C5C95"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r w:rsidRPr="001F3997">
        <w:rPr>
          <w:rFonts w:ascii="Arial" w:hAnsi="Arial" w:cs="Arial"/>
          <w:b/>
        </w:rPr>
        <w:t xml:space="preserve">BSB consultation on </w:t>
      </w:r>
      <w:r w:rsidR="008C5C95" w:rsidRPr="001F3997">
        <w:rPr>
          <w:rFonts w:ascii="Arial" w:hAnsi="Arial" w:cs="Arial"/>
          <w:b/>
        </w:rPr>
        <w:t xml:space="preserve">Changes to Returning Instructions Guidance </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u w:val="single"/>
        </w:rPr>
      </w:pPr>
      <w:r w:rsidRPr="001F3997">
        <w:rPr>
          <w:rFonts w:ascii="Arial" w:hAnsi="Arial" w:cs="Arial"/>
          <w:b/>
          <w:u w:val="single"/>
        </w:rPr>
        <w:t>About you</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r w:rsidRPr="001F3997">
        <w:rPr>
          <w:rFonts w:ascii="Arial" w:hAnsi="Arial" w:cs="Arial"/>
          <w:b/>
        </w:rPr>
        <w:t>Name:</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r w:rsidRPr="001F3997">
        <w:rPr>
          <w:rFonts w:ascii="Arial" w:hAnsi="Arial" w:cs="Arial"/>
          <w:b/>
        </w:rPr>
        <w:t>Contact details:</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r w:rsidRPr="001F3997">
        <w:rPr>
          <w:rFonts w:ascii="Arial" w:hAnsi="Arial" w:cs="Arial"/>
          <w:b/>
        </w:rPr>
        <w:t>Are you responding on behalf of an organisation (if so, please provide details)?</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r w:rsidRPr="001F3997">
        <w:rPr>
          <w:rFonts w:ascii="Arial" w:hAnsi="Arial" w:cs="Arial"/>
          <w:b/>
        </w:rPr>
        <w:t>Are you content for your response to be made public?</w:t>
      </w:r>
    </w:p>
    <w:p w:rsidR="00D12A2A" w:rsidRPr="001F3997" w:rsidRDefault="00D12A2A" w:rsidP="001F3997">
      <w:pPr>
        <w:pStyle w:val="ListParagraph"/>
        <w:ind w:left="0"/>
        <w:jc w:val="both"/>
        <w:rPr>
          <w:rFonts w:ascii="Arial" w:hAnsi="Arial" w:cs="Arial"/>
          <w:b/>
        </w:rPr>
      </w:pPr>
    </w:p>
    <w:p w:rsidR="00D12A2A" w:rsidRPr="001F3997" w:rsidRDefault="00D12A2A" w:rsidP="001F3997">
      <w:pPr>
        <w:pStyle w:val="ListParagraph"/>
        <w:ind w:left="0"/>
        <w:jc w:val="both"/>
        <w:rPr>
          <w:rFonts w:ascii="Arial" w:hAnsi="Arial" w:cs="Arial"/>
          <w:b/>
        </w:rPr>
      </w:pPr>
    </w:p>
    <w:p w:rsidR="00F82718" w:rsidRPr="001F3997" w:rsidRDefault="00D12A2A" w:rsidP="001F3997">
      <w:pPr>
        <w:jc w:val="both"/>
        <w:rPr>
          <w:rFonts w:ascii="Arial" w:hAnsi="Arial" w:cs="Arial"/>
          <w:b/>
        </w:rPr>
      </w:pPr>
      <w:r w:rsidRPr="001F3997">
        <w:rPr>
          <w:rFonts w:ascii="Arial" w:hAnsi="Arial" w:cs="Arial"/>
          <w:b/>
        </w:rPr>
        <w:t>Q.1</w:t>
      </w:r>
      <w:r w:rsidR="001608AD" w:rsidRPr="001F3997">
        <w:rPr>
          <w:rFonts w:ascii="Arial" w:hAnsi="Arial" w:cs="Arial"/>
          <w:b/>
        </w:rPr>
        <w:t>:</w:t>
      </w:r>
      <w:r w:rsidRPr="001F3997">
        <w:rPr>
          <w:rFonts w:ascii="Arial" w:hAnsi="Arial" w:cs="Arial"/>
          <w:b/>
        </w:rPr>
        <w:t xml:space="preserve"> </w:t>
      </w:r>
      <w:r w:rsidR="00F82718" w:rsidRPr="001F3997">
        <w:rPr>
          <w:rFonts w:ascii="Arial" w:hAnsi="Arial" w:cs="Arial"/>
          <w:b/>
        </w:rPr>
        <w:t>Have we adequately identified the risks to clients, the administration of justice, third parties and the wider public interest where a barrister withdraws from a case?  Are there any additional impacts or any unintended consequences arising from this guidance?</w:t>
      </w:r>
    </w:p>
    <w:p w:rsidR="00D12A2A" w:rsidRPr="001F3997" w:rsidRDefault="00D12A2A" w:rsidP="001F3997">
      <w:pPr>
        <w:pStyle w:val="ListParagraph"/>
        <w:ind w:left="0"/>
        <w:jc w:val="both"/>
        <w:rPr>
          <w:rFonts w:ascii="Arial" w:hAnsi="Arial" w:cs="Arial"/>
          <w:b/>
        </w:rPr>
      </w:pPr>
    </w:p>
    <w:tbl>
      <w:tblPr>
        <w:tblW w:w="95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D12A2A" w:rsidRPr="001F3997" w:rsidTr="00D12A2A">
        <w:trPr>
          <w:trHeight w:val="270"/>
        </w:trPr>
        <w:tc>
          <w:tcPr>
            <w:tcW w:w="9585" w:type="dxa"/>
            <w:tcBorders>
              <w:top w:val="single" w:sz="4" w:space="0" w:color="auto"/>
              <w:left w:val="single" w:sz="4" w:space="0" w:color="auto"/>
              <w:bottom w:val="single" w:sz="4" w:space="0" w:color="auto"/>
              <w:right w:val="single" w:sz="4" w:space="0" w:color="auto"/>
            </w:tcBorders>
          </w:tcPr>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75"/>
              <w:jc w:val="both"/>
              <w:rPr>
                <w:rFonts w:ascii="Arial" w:hAnsi="Arial" w:cs="Arial"/>
                <w:b/>
              </w:rPr>
            </w:pPr>
          </w:p>
        </w:tc>
      </w:tr>
    </w:tbl>
    <w:p w:rsidR="00D12A2A" w:rsidRPr="001F3997" w:rsidRDefault="00D12A2A" w:rsidP="001F3997">
      <w:pPr>
        <w:pStyle w:val="ListParagraph"/>
        <w:ind w:left="0"/>
        <w:jc w:val="both"/>
        <w:rPr>
          <w:rFonts w:ascii="Arial" w:eastAsia="Calibri" w:hAnsi="Arial" w:cs="Arial"/>
          <w:b/>
        </w:rPr>
      </w:pPr>
    </w:p>
    <w:p w:rsidR="00F82718" w:rsidRPr="001F3997" w:rsidRDefault="00D12A2A" w:rsidP="001F3997">
      <w:pPr>
        <w:jc w:val="both"/>
        <w:rPr>
          <w:rFonts w:ascii="Arial" w:hAnsi="Arial" w:cs="Arial"/>
          <w:b/>
        </w:rPr>
      </w:pPr>
      <w:r w:rsidRPr="001F3997">
        <w:rPr>
          <w:rFonts w:ascii="Arial" w:hAnsi="Arial" w:cs="Arial"/>
          <w:b/>
        </w:rPr>
        <w:t>Q.2</w:t>
      </w:r>
      <w:r w:rsidR="001608AD" w:rsidRPr="001F3997">
        <w:rPr>
          <w:rFonts w:ascii="Arial" w:hAnsi="Arial" w:cs="Arial"/>
          <w:b/>
        </w:rPr>
        <w:t xml:space="preserve">: </w:t>
      </w:r>
      <w:r w:rsidRPr="001F3997">
        <w:rPr>
          <w:rFonts w:ascii="Arial" w:hAnsi="Arial" w:cs="Arial"/>
          <w:b/>
        </w:rPr>
        <w:t xml:space="preserve"> </w:t>
      </w:r>
      <w:r w:rsidR="00F82718" w:rsidRPr="001F3997">
        <w:rPr>
          <w:rFonts w:ascii="Arial" w:hAnsi="Arial" w:cs="Arial"/>
          <w:b/>
        </w:rPr>
        <w:t xml:space="preserve">Are the additional considerations included in gC87 .1 - .7 adequate to assist a barrister in deciding whether or not they would be justified in withdrawing?  </w:t>
      </w:r>
    </w:p>
    <w:p w:rsidR="00D12A2A" w:rsidRPr="001F3997" w:rsidRDefault="00D12A2A" w:rsidP="001F3997">
      <w:pPr>
        <w:pStyle w:val="ListParagraph"/>
        <w:ind w:left="0"/>
        <w:jc w:val="both"/>
        <w:rPr>
          <w:rFonts w:ascii="Arial" w:hAnsi="Arial" w:cs="Arial"/>
          <w:b/>
        </w:rPr>
      </w:pPr>
    </w:p>
    <w:tbl>
      <w:tblPr>
        <w:tblW w:w="957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12A2A" w:rsidRPr="001F3997" w:rsidTr="00D12A2A">
        <w:trPr>
          <w:trHeight w:val="1530"/>
        </w:trPr>
        <w:tc>
          <w:tcPr>
            <w:tcW w:w="9570" w:type="dxa"/>
            <w:tcBorders>
              <w:top w:val="single" w:sz="4" w:space="0" w:color="auto"/>
              <w:left w:val="single" w:sz="4" w:space="0" w:color="auto"/>
              <w:bottom w:val="single" w:sz="4" w:space="0" w:color="auto"/>
              <w:right w:val="single" w:sz="4" w:space="0" w:color="auto"/>
            </w:tcBorders>
          </w:tcPr>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150"/>
              <w:jc w:val="both"/>
              <w:rPr>
                <w:rFonts w:ascii="Arial" w:hAnsi="Arial" w:cs="Arial"/>
                <w:b/>
              </w:rPr>
            </w:pPr>
          </w:p>
          <w:p w:rsidR="00D12A2A" w:rsidRPr="001F3997" w:rsidRDefault="00D12A2A" w:rsidP="001F3997">
            <w:pPr>
              <w:pStyle w:val="ListParagraph"/>
              <w:ind w:left="150"/>
              <w:jc w:val="both"/>
              <w:rPr>
                <w:rFonts w:ascii="Arial" w:hAnsi="Arial" w:cs="Arial"/>
                <w:b/>
              </w:rPr>
            </w:pPr>
          </w:p>
          <w:p w:rsidR="00D12A2A" w:rsidRPr="001F3997" w:rsidRDefault="00D12A2A" w:rsidP="001F3997">
            <w:pPr>
              <w:pStyle w:val="ListParagraph"/>
              <w:ind w:left="150"/>
              <w:jc w:val="both"/>
              <w:rPr>
                <w:rFonts w:ascii="Arial" w:hAnsi="Arial" w:cs="Arial"/>
                <w:b/>
              </w:rPr>
            </w:pPr>
          </w:p>
          <w:p w:rsidR="00D12A2A" w:rsidRPr="001F3997" w:rsidRDefault="00D12A2A" w:rsidP="001F3997">
            <w:pPr>
              <w:pStyle w:val="ListParagraph"/>
              <w:ind w:left="75"/>
              <w:jc w:val="both"/>
              <w:rPr>
                <w:rFonts w:ascii="Arial" w:hAnsi="Arial" w:cs="Arial"/>
                <w:b/>
              </w:rPr>
            </w:pPr>
          </w:p>
          <w:p w:rsidR="00D12A2A" w:rsidRPr="001F3997" w:rsidRDefault="00D12A2A" w:rsidP="001F3997">
            <w:pPr>
              <w:pStyle w:val="ListParagraph"/>
              <w:ind w:left="75"/>
              <w:jc w:val="both"/>
              <w:rPr>
                <w:rFonts w:ascii="Arial" w:hAnsi="Arial" w:cs="Arial"/>
                <w:b/>
              </w:rPr>
            </w:pPr>
          </w:p>
        </w:tc>
      </w:tr>
    </w:tbl>
    <w:p w:rsidR="001608AD" w:rsidRPr="001F3997" w:rsidRDefault="001608AD" w:rsidP="001F3997">
      <w:pPr>
        <w:pStyle w:val="ListParagraph"/>
        <w:ind w:left="75"/>
        <w:jc w:val="both"/>
        <w:rPr>
          <w:rFonts w:ascii="Arial" w:hAnsi="Arial" w:cs="Arial"/>
          <w:b/>
        </w:rPr>
      </w:pPr>
    </w:p>
    <w:p w:rsidR="00B26DE3" w:rsidRPr="001F3997" w:rsidRDefault="001608AD" w:rsidP="001F3997">
      <w:pPr>
        <w:jc w:val="both"/>
        <w:rPr>
          <w:rFonts w:ascii="Arial" w:hAnsi="Arial" w:cs="Arial"/>
          <w:b/>
        </w:rPr>
      </w:pPr>
      <w:r w:rsidRPr="001F3997">
        <w:rPr>
          <w:rFonts w:ascii="Arial" w:hAnsi="Arial" w:cs="Arial"/>
          <w:b/>
        </w:rPr>
        <w:t>Q</w:t>
      </w:r>
      <w:r w:rsidR="008C5C95" w:rsidRPr="001F3997">
        <w:rPr>
          <w:rFonts w:ascii="Arial" w:hAnsi="Arial" w:cs="Arial"/>
          <w:b/>
        </w:rPr>
        <w:t>.</w:t>
      </w:r>
      <w:r w:rsidRPr="001F3997">
        <w:rPr>
          <w:rFonts w:ascii="Arial" w:hAnsi="Arial" w:cs="Arial"/>
          <w:b/>
        </w:rPr>
        <w:t>3:</w:t>
      </w:r>
      <w:r w:rsidR="008C5C95" w:rsidRPr="001F3997">
        <w:rPr>
          <w:rFonts w:ascii="Arial" w:hAnsi="Arial" w:cs="Arial"/>
          <w:b/>
        </w:rPr>
        <w:t xml:space="preserve"> </w:t>
      </w:r>
      <w:r w:rsidR="00B26DE3" w:rsidRPr="001F3997">
        <w:rPr>
          <w:rFonts w:ascii="Arial" w:hAnsi="Arial" w:cs="Arial"/>
        </w:rPr>
        <w:t xml:space="preserve"> </w:t>
      </w:r>
      <w:r w:rsidR="00B26DE3" w:rsidRPr="001F3997">
        <w:rPr>
          <w:rFonts w:ascii="Arial" w:hAnsi="Arial" w:cs="Arial"/>
          <w:b/>
        </w:rPr>
        <w:t>Do you consider it proportionate to remove the automatic assumption in guidance that instructions are withdrawn if there is a fundamental change in remuneration?  Does the revised guidance achieve the right balance between the interests of the barrister and of clients, witnesses and the interests of justice?  If not what safeguards would you propose to protect the wider public interest?</w:t>
      </w:r>
    </w:p>
    <w:p w:rsidR="00F82718" w:rsidRPr="001F3997" w:rsidRDefault="00F82718" w:rsidP="001F3997">
      <w:pPr>
        <w:jc w:val="both"/>
        <w:rPr>
          <w:rFonts w:ascii="Arial" w:hAnsi="Arial" w:cs="Arial"/>
        </w:rPr>
      </w:pPr>
    </w:p>
    <w:p w:rsidR="00F82718" w:rsidRPr="001F3997" w:rsidRDefault="00F82718" w:rsidP="001F3997">
      <w:pPr>
        <w:jc w:val="both"/>
        <w:rPr>
          <w:rFonts w:ascii="Arial" w:hAnsi="Arial" w:cs="Arial"/>
        </w:rPr>
      </w:pPr>
    </w:p>
    <w:tbl>
      <w:tblPr>
        <w:tblStyle w:val="TableGrid"/>
        <w:tblW w:w="9639" w:type="dxa"/>
        <w:tblInd w:w="-5" w:type="dxa"/>
        <w:tblLook w:val="04A0" w:firstRow="1" w:lastRow="0" w:firstColumn="1" w:lastColumn="0" w:noHBand="0" w:noVBand="1"/>
      </w:tblPr>
      <w:tblGrid>
        <w:gridCol w:w="9639"/>
      </w:tblGrid>
      <w:tr w:rsidR="001608AD" w:rsidRPr="001F3997" w:rsidTr="008C5C95">
        <w:tc>
          <w:tcPr>
            <w:tcW w:w="9639" w:type="dxa"/>
          </w:tcPr>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p w:rsidR="001608AD" w:rsidRPr="001F3997" w:rsidRDefault="001608AD" w:rsidP="001F3997">
            <w:pPr>
              <w:pStyle w:val="ListParagraph"/>
              <w:ind w:left="0"/>
              <w:jc w:val="both"/>
              <w:rPr>
                <w:rFonts w:ascii="Arial" w:hAnsi="Arial" w:cs="Arial"/>
                <w:b/>
              </w:rPr>
            </w:pPr>
          </w:p>
        </w:tc>
      </w:tr>
    </w:tbl>
    <w:p w:rsidR="001608AD" w:rsidRPr="001F3997" w:rsidRDefault="001608AD" w:rsidP="001F3997">
      <w:pPr>
        <w:pStyle w:val="ListParagraph"/>
        <w:ind w:left="150"/>
        <w:jc w:val="both"/>
        <w:rPr>
          <w:rFonts w:ascii="Arial" w:hAnsi="Arial" w:cs="Arial"/>
          <w:b/>
        </w:rPr>
      </w:pPr>
    </w:p>
    <w:p w:rsidR="001608AD" w:rsidRPr="001F3997" w:rsidRDefault="008C5C95" w:rsidP="001F3997">
      <w:pPr>
        <w:jc w:val="both"/>
        <w:rPr>
          <w:rFonts w:ascii="Arial" w:hAnsi="Arial" w:cs="Arial"/>
          <w:b/>
        </w:rPr>
      </w:pPr>
      <w:r w:rsidRPr="001F3997">
        <w:rPr>
          <w:rFonts w:ascii="Arial" w:hAnsi="Arial" w:cs="Arial"/>
          <w:b/>
        </w:rPr>
        <w:t>Q.4</w:t>
      </w:r>
      <w:r w:rsidR="00F82718" w:rsidRPr="001F3997">
        <w:rPr>
          <w:rFonts w:ascii="Arial" w:hAnsi="Arial" w:cs="Arial"/>
          <w:b/>
        </w:rPr>
        <w:t>: Are there any further matters the BSB should take into account that are relevant to this guidance</w:t>
      </w:r>
      <w:r w:rsidR="001608AD" w:rsidRPr="001F3997">
        <w:rPr>
          <w:rFonts w:ascii="Arial" w:hAnsi="Arial" w:cs="Arial"/>
          <w:b/>
        </w:rPr>
        <w:t>?</w:t>
      </w:r>
      <w:r w:rsidR="001608AD" w:rsidRPr="001F3997">
        <w:rPr>
          <w:rFonts w:ascii="Arial" w:hAnsi="Arial" w:cs="Arial"/>
        </w:rPr>
        <w:t xml:space="preserve">  </w:t>
      </w:r>
    </w:p>
    <w:p w:rsidR="001608AD" w:rsidRPr="001F3997" w:rsidRDefault="001608AD" w:rsidP="001608AD">
      <w:pPr>
        <w:pStyle w:val="ListParagraph"/>
        <w:ind w:left="150"/>
        <w:rPr>
          <w:rFonts w:ascii="Arial" w:hAnsi="Arial" w:cs="Arial"/>
          <w:b/>
        </w:rPr>
      </w:pPr>
    </w:p>
    <w:tbl>
      <w:tblPr>
        <w:tblStyle w:val="TableGrid"/>
        <w:tblW w:w="9639" w:type="dxa"/>
        <w:tblInd w:w="-5" w:type="dxa"/>
        <w:tblLook w:val="04A0" w:firstRow="1" w:lastRow="0" w:firstColumn="1" w:lastColumn="0" w:noHBand="0" w:noVBand="1"/>
      </w:tblPr>
      <w:tblGrid>
        <w:gridCol w:w="9639"/>
      </w:tblGrid>
      <w:tr w:rsidR="001608AD" w:rsidRPr="001F3997" w:rsidTr="008C5C95">
        <w:tc>
          <w:tcPr>
            <w:tcW w:w="9639" w:type="dxa"/>
          </w:tcPr>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p w:rsidR="001608AD" w:rsidRPr="001F3997" w:rsidRDefault="001608AD" w:rsidP="001608AD">
            <w:pPr>
              <w:pStyle w:val="ListParagraph"/>
              <w:ind w:left="0"/>
              <w:rPr>
                <w:rFonts w:ascii="Arial" w:hAnsi="Arial" w:cs="Arial"/>
                <w:b/>
              </w:rPr>
            </w:pPr>
          </w:p>
        </w:tc>
      </w:tr>
    </w:tbl>
    <w:p w:rsidR="001608AD" w:rsidRPr="001F3997" w:rsidRDefault="001608AD" w:rsidP="001608AD">
      <w:pPr>
        <w:pStyle w:val="ListParagraph"/>
        <w:ind w:left="150"/>
        <w:rPr>
          <w:rFonts w:ascii="Arial" w:hAnsi="Arial" w:cs="Arial"/>
          <w:b/>
        </w:rPr>
      </w:pPr>
    </w:p>
    <w:p w:rsidR="001608AD" w:rsidRPr="001F3997" w:rsidRDefault="001608AD" w:rsidP="00D12A2A">
      <w:pPr>
        <w:pStyle w:val="ListParagraph"/>
        <w:ind w:left="0"/>
        <w:rPr>
          <w:rFonts w:ascii="Arial" w:eastAsia="Calibri" w:hAnsi="Arial" w:cs="Arial"/>
          <w:b/>
        </w:rPr>
      </w:pPr>
    </w:p>
    <w:p w:rsidR="00D12A2A" w:rsidRPr="001F3997" w:rsidRDefault="00D12A2A" w:rsidP="00D12A2A">
      <w:pPr>
        <w:rPr>
          <w:rFonts w:ascii="Arial" w:hAnsi="Arial" w:cs="Arial"/>
        </w:rPr>
      </w:pPr>
      <w:r w:rsidRPr="001F3997">
        <w:rPr>
          <w:rFonts w:ascii="Arial" w:hAnsi="Arial" w:cs="Arial"/>
        </w:rPr>
        <w:t>Once you have completed this form, please email it to:</w:t>
      </w:r>
    </w:p>
    <w:p w:rsidR="0097256A" w:rsidRPr="001F3997" w:rsidRDefault="007C209E" w:rsidP="0097256A">
      <w:pPr>
        <w:pStyle w:val="ListParagraph"/>
        <w:rPr>
          <w:rFonts w:ascii="Arial" w:hAnsi="Arial" w:cs="Arial"/>
        </w:rPr>
      </w:pPr>
      <w:hyperlink r:id="rId9" w:history="1">
        <w:r w:rsidR="0097256A" w:rsidRPr="001F3997">
          <w:rPr>
            <w:rStyle w:val="Hyperlink"/>
            <w:rFonts w:ascii="Arial" w:hAnsi="Arial" w:cs="Arial"/>
          </w:rPr>
          <w:t>rpragnell@barstandardsboard.org.uk</w:t>
        </w:r>
      </w:hyperlink>
      <w:r w:rsidR="0097256A" w:rsidRPr="001F3997">
        <w:rPr>
          <w:rFonts w:ascii="Arial" w:hAnsi="Arial" w:cs="Arial"/>
        </w:rPr>
        <w:t xml:space="preserve"> </w:t>
      </w:r>
    </w:p>
    <w:p w:rsidR="0097256A" w:rsidRPr="001F3997" w:rsidRDefault="0097256A" w:rsidP="0097256A">
      <w:pPr>
        <w:pStyle w:val="ListParagraph"/>
        <w:rPr>
          <w:rFonts w:ascii="Arial" w:hAnsi="Arial" w:cs="Arial"/>
        </w:rPr>
      </w:pPr>
    </w:p>
    <w:p w:rsidR="0097256A" w:rsidRPr="001F3997" w:rsidRDefault="0097256A" w:rsidP="0097256A">
      <w:pPr>
        <w:pStyle w:val="ListParagraph"/>
        <w:rPr>
          <w:rFonts w:ascii="Arial" w:hAnsi="Arial" w:cs="Arial"/>
        </w:rPr>
      </w:pPr>
      <w:r w:rsidRPr="001F3997">
        <w:rPr>
          <w:rFonts w:ascii="Arial" w:hAnsi="Arial" w:cs="Arial"/>
        </w:rPr>
        <w:t>Alternatively, you can post completed forms to:</w:t>
      </w:r>
    </w:p>
    <w:p w:rsidR="0097256A" w:rsidRPr="001F3997" w:rsidRDefault="0097256A" w:rsidP="0097256A">
      <w:pPr>
        <w:pStyle w:val="ListParagraph"/>
        <w:rPr>
          <w:rFonts w:ascii="Arial" w:hAnsi="Arial" w:cs="Arial"/>
        </w:rPr>
      </w:pPr>
    </w:p>
    <w:p w:rsidR="0097256A" w:rsidRPr="001F3997" w:rsidRDefault="0097256A" w:rsidP="0097256A">
      <w:pPr>
        <w:pStyle w:val="ListParagraph"/>
        <w:rPr>
          <w:rFonts w:ascii="Arial" w:hAnsi="Arial" w:cs="Arial"/>
        </w:rPr>
      </w:pPr>
      <w:r w:rsidRPr="001F3997">
        <w:rPr>
          <w:rFonts w:ascii="Arial" w:hAnsi="Arial" w:cs="Arial"/>
        </w:rPr>
        <w:t xml:space="preserve">The Bar Standards Board </w:t>
      </w:r>
    </w:p>
    <w:p w:rsidR="0097256A" w:rsidRPr="001F3997" w:rsidRDefault="0097256A" w:rsidP="0097256A">
      <w:pPr>
        <w:pStyle w:val="ListParagraph"/>
        <w:rPr>
          <w:rFonts w:ascii="Arial" w:hAnsi="Arial" w:cs="Arial"/>
        </w:rPr>
      </w:pPr>
      <w:r w:rsidRPr="001F3997">
        <w:rPr>
          <w:rFonts w:ascii="Arial" w:hAnsi="Arial" w:cs="Arial"/>
        </w:rPr>
        <w:t xml:space="preserve">Regulatory Policy Team </w:t>
      </w:r>
    </w:p>
    <w:p w:rsidR="0097256A" w:rsidRPr="001F3997" w:rsidRDefault="0097256A" w:rsidP="0097256A">
      <w:pPr>
        <w:pStyle w:val="ListParagraph"/>
        <w:rPr>
          <w:rFonts w:ascii="Arial" w:hAnsi="Arial" w:cs="Arial"/>
        </w:rPr>
      </w:pPr>
      <w:r w:rsidRPr="001F3997">
        <w:rPr>
          <w:rFonts w:ascii="Arial" w:hAnsi="Arial" w:cs="Arial"/>
        </w:rPr>
        <w:t>289-293 High Holborn</w:t>
      </w:r>
    </w:p>
    <w:p w:rsidR="0097256A" w:rsidRPr="001F3997" w:rsidRDefault="0097256A" w:rsidP="0097256A">
      <w:pPr>
        <w:pStyle w:val="ListParagraph"/>
        <w:rPr>
          <w:rFonts w:ascii="Arial" w:hAnsi="Arial" w:cs="Arial"/>
        </w:rPr>
      </w:pPr>
      <w:r w:rsidRPr="001F3997">
        <w:rPr>
          <w:rFonts w:ascii="Arial" w:hAnsi="Arial" w:cs="Arial"/>
        </w:rPr>
        <w:t>London</w:t>
      </w:r>
    </w:p>
    <w:p w:rsidR="0097256A" w:rsidRPr="001F3997" w:rsidRDefault="0097256A" w:rsidP="0097256A">
      <w:pPr>
        <w:pStyle w:val="ListParagraph"/>
        <w:rPr>
          <w:rFonts w:ascii="Arial" w:hAnsi="Arial" w:cs="Arial"/>
        </w:rPr>
      </w:pPr>
      <w:r w:rsidRPr="001F3997">
        <w:rPr>
          <w:rFonts w:ascii="Arial" w:hAnsi="Arial" w:cs="Arial"/>
        </w:rPr>
        <w:t>WC1V 7HZ</w:t>
      </w:r>
    </w:p>
    <w:p w:rsidR="0097256A" w:rsidRPr="001F3997" w:rsidRDefault="0097256A" w:rsidP="0097256A">
      <w:pPr>
        <w:pStyle w:val="ListParagraph"/>
        <w:rPr>
          <w:rFonts w:ascii="Arial" w:hAnsi="Arial" w:cs="Arial"/>
        </w:rPr>
      </w:pPr>
    </w:p>
    <w:p w:rsidR="0097256A" w:rsidRPr="001F3997" w:rsidRDefault="0097256A" w:rsidP="0097256A">
      <w:pPr>
        <w:pStyle w:val="ListParagraph"/>
        <w:rPr>
          <w:rFonts w:ascii="Arial" w:hAnsi="Arial" w:cs="Arial"/>
          <w:b/>
        </w:rPr>
      </w:pPr>
      <w:r w:rsidRPr="001F3997">
        <w:rPr>
          <w:rFonts w:ascii="Arial" w:hAnsi="Arial" w:cs="Arial"/>
          <w:b/>
        </w:rPr>
        <w:t xml:space="preserve">The deadline for responses is 25 April 2014. </w:t>
      </w:r>
    </w:p>
    <w:sectPr w:rsidR="0097256A" w:rsidRPr="001F3997" w:rsidSect="00866D1F">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09E" w:rsidRDefault="007C209E" w:rsidP="001608AD">
      <w:pPr>
        <w:spacing w:after="0" w:line="240" w:lineRule="auto"/>
      </w:pPr>
      <w:r>
        <w:separator/>
      </w:r>
    </w:p>
  </w:endnote>
  <w:endnote w:type="continuationSeparator" w:id="0">
    <w:p w:rsidR="007C209E" w:rsidRDefault="007C209E" w:rsidP="0016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550517"/>
      <w:docPartObj>
        <w:docPartGallery w:val="Page Numbers (Bottom of Page)"/>
        <w:docPartUnique/>
      </w:docPartObj>
    </w:sdtPr>
    <w:sdtEndPr>
      <w:rPr>
        <w:noProof/>
      </w:rPr>
    </w:sdtEndPr>
    <w:sdtContent>
      <w:p w:rsidR="001608AD" w:rsidRDefault="001608AD">
        <w:pPr>
          <w:pStyle w:val="Footer"/>
          <w:jc w:val="right"/>
        </w:pPr>
        <w:r>
          <w:fldChar w:fldCharType="begin"/>
        </w:r>
        <w:r>
          <w:instrText xml:space="preserve"> PAGE   \* MERGEFORMAT </w:instrText>
        </w:r>
        <w:r>
          <w:fldChar w:fldCharType="separate"/>
        </w:r>
        <w:r w:rsidR="00554A6B">
          <w:rPr>
            <w:noProof/>
          </w:rPr>
          <w:t>2</w:t>
        </w:r>
        <w:r>
          <w:rPr>
            <w:noProof/>
          </w:rPr>
          <w:fldChar w:fldCharType="end"/>
        </w:r>
      </w:p>
    </w:sdtContent>
  </w:sdt>
  <w:p w:rsidR="001608AD" w:rsidRDefault="00160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09E" w:rsidRDefault="007C209E" w:rsidP="001608AD">
      <w:pPr>
        <w:spacing w:after="0" w:line="240" w:lineRule="auto"/>
      </w:pPr>
      <w:r>
        <w:separator/>
      </w:r>
    </w:p>
  </w:footnote>
  <w:footnote w:type="continuationSeparator" w:id="0">
    <w:p w:rsidR="007C209E" w:rsidRDefault="007C209E" w:rsidP="0016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AD" w:rsidRDefault="00866D1F" w:rsidP="00900D86">
    <w:pPr>
      <w:pStyle w:val="Header"/>
      <w:tabs>
        <w:tab w:val="clear" w:pos="4513"/>
        <w:tab w:val="clear" w:pos="9026"/>
        <w:tab w:val="left" w:pos="2385"/>
      </w:tabs>
    </w:pPr>
    <w:r>
      <w:t>Consultation Paper – Returning Instructions gC87</w:t>
    </w:r>
    <w:r w:rsidR="00900D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72C7"/>
    <w:multiLevelType w:val="hybridMultilevel"/>
    <w:tmpl w:val="2B7482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F273C"/>
    <w:multiLevelType w:val="hybridMultilevel"/>
    <w:tmpl w:val="351E4A92"/>
    <w:lvl w:ilvl="0" w:tplc="412205D8">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63B71"/>
    <w:multiLevelType w:val="hybridMultilevel"/>
    <w:tmpl w:val="4148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336DF"/>
    <w:multiLevelType w:val="multilevel"/>
    <w:tmpl w:val="91E0CBF4"/>
    <w:lvl w:ilvl="0">
      <w:start w:val="1"/>
      <w:numFmt w:val="decimal"/>
      <w:pStyle w:val="NVdrafting"/>
      <w:lvlText w:val="%1."/>
      <w:lvlJc w:val="left"/>
      <w:pPr>
        <w:tabs>
          <w:tab w:val="num" w:pos="851"/>
        </w:tabs>
        <w:ind w:left="851" w:hanging="851"/>
      </w:pPr>
      <w:rPr>
        <w:rFonts w:ascii="Arial" w:hAnsi="Arial" w:cs="Arial" w:hint="default"/>
      </w:rPr>
    </w:lvl>
    <w:lvl w:ilvl="1">
      <w:start w:val="1"/>
      <w:numFmt w:val="decimal"/>
      <w:lvlText w:val="(%2)"/>
      <w:lvlJc w:val="left"/>
      <w:pPr>
        <w:tabs>
          <w:tab w:val="num" w:pos="1701"/>
        </w:tabs>
        <w:ind w:left="1701" w:hanging="850"/>
      </w:pPr>
      <w:rPr>
        <w:rFonts w:hint="default"/>
      </w:rPr>
    </w:lvl>
    <w:lvl w:ilvl="2">
      <w:start w:val="1"/>
      <w:numFmt w:val="lowerLetter"/>
      <w:lvlText w:val="(%3)"/>
      <w:lvlJc w:val="left"/>
      <w:pPr>
        <w:tabs>
          <w:tab w:val="num" w:pos="2552"/>
        </w:tabs>
        <w:ind w:left="2552"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17827AE"/>
    <w:multiLevelType w:val="hybridMultilevel"/>
    <w:tmpl w:val="D7323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5F6625"/>
    <w:multiLevelType w:val="hybridMultilevel"/>
    <w:tmpl w:val="DC8A5A62"/>
    <w:lvl w:ilvl="0" w:tplc="1B22409C">
      <w:start w:val="3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323E"/>
    <w:multiLevelType w:val="hybridMultilevel"/>
    <w:tmpl w:val="D178A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B55641"/>
    <w:multiLevelType w:val="hybridMultilevel"/>
    <w:tmpl w:val="EC6459A4"/>
    <w:lvl w:ilvl="0" w:tplc="1B22409C">
      <w:start w:val="3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5124E"/>
    <w:multiLevelType w:val="hybridMultilevel"/>
    <w:tmpl w:val="65AE22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1B762A"/>
    <w:multiLevelType w:val="hybridMultilevel"/>
    <w:tmpl w:val="D126281A"/>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C3F01"/>
    <w:multiLevelType w:val="hybridMultilevel"/>
    <w:tmpl w:val="A64E6C6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1F847B44">
      <w:numFmt w:val="bullet"/>
      <w:lvlText w:val="-"/>
      <w:lvlJc w:val="left"/>
      <w:pPr>
        <w:tabs>
          <w:tab w:val="num" w:pos="3960"/>
        </w:tabs>
        <w:ind w:left="3960" w:hanging="360"/>
      </w:pPr>
      <w:rPr>
        <w:rFonts w:ascii="Times New Roman" w:eastAsia="Times New Roman" w:hAnsi="Times New Roman" w:cs="Times New Roman" w:hint="default"/>
      </w:rPr>
    </w:lvl>
    <w:lvl w:ilvl="5" w:tplc="10EA2058">
      <w:start w:val="1"/>
      <w:numFmt w:val="lowerRoman"/>
      <w:lvlText w:val="(%6)"/>
      <w:lvlJc w:val="left"/>
      <w:pPr>
        <w:tabs>
          <w:tab w:val="num" w:pos="5220"/>
        </w:tabs>
        <w:ind w:left="5220" w:hanging="72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7B316535"/>
    <w:multiLevelType w:val="hybridMultilevel"/>
    <w:tmpl w:val="0DC0C0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3C"/>
    <w:rsid w:val="000004D6"/>
    <w:rsid w:val="00006F90"/>
    <w:rsid w:val="00023679"/>
    <w:rsid w:val="0005010B"/>
    <w:rsid w:val="000734D9"/>
    <w:rsid w:val="000C3A26"/>
    <w:rsid w:val="000D479F"/>
    <w:rsid w:val="00104E24"/>
    <w:rsid w:val="00117C09"/>
    <w:rsid w:val="00143B1E"/>
    <w:rsid w:val="00144142"/>
    <w:rsid w:val="001550C4"/>
    <w:rsid w:val="00157D5B"/>
    <w:rsid w:val="001608AD"/>
    <w:rsid w:val="00166A36"/>
    <w:rsid w:val="0017081A"/>
    <w:rsid w:val="0018548A"/>
    <w:rsid w:val="001908A1"/>
    <w:rsid w:val="00191114"/>
    <w:rsid w:val="00194872"/>
    <w:rsid w:val="001A56A2"/>
    <w:rsid w:val="001C02C0"/>
    <w:rsid w:val="001D7954"/>
    <w:rsid w:val="001E117D"/>
    <w:rsid w:val="001F3997"/>
    <w:rsid w:val="00206D57"/>
    <w:rsid w:val="0024715B"/>
    <w:rsid w:val="002A2B02"/>
    <w:rsid w:val="002A579C"/>
    <w:rsid w:val="002B0336"/>
    <w:rsid w:val="002B79DC"/>
    <w:rsid w:val="002E27CC"/>
    <w:rsid w:val="002E2A47"/>
    <w:rsid w:val="002F1532"/>
    <w:rsid w:val="002F2C15"/>
    <w:rsid w:val="003179AC"/>
    <w:rsid w:val="00327971"/>
    <w:rsid w:val="00350E46"/>
    <w:rsid w:val="00376BC8"/>
    <w:rsid w:val="003A687B"/>
    <w:rsid w:val="003C0352"/>
    <w:rsid w:val="003C0C37"/>
    <w:rsid w:val="003D08EA"/>
    <w:rsid w:val="003D1702"/>
    <w:rsid w:val="003D5388"/>
    <w:rsid w:val="003D7BCE"/>
    <w:rsid w:val="003E42B4"/>
    <w:rsid w:val="003F0FBD"/>
    <w:rsid w:val="0044080D"/>
    <w:rsid w:val="00442FC5"/>
    <w:rsid w:val="0045229B"/>
    <w:rsid w:val="00472B6F"/>
    <w:rsid w:val="004759A5"/>
    <w:rsid w:val="004C0BF5"/>
    <w:rsid w:val="004C78EC"/>
    <w:rsid w:val="004E0A89"/>
    <w:rsid w:val="004E2272"/>
    <w:rsid w:val="004F5061"/>
    <w:rsid w:val="005104FD"/>
    <w:rsid w:val="005112E5"/>
    <w:rsid w:val="00522A14"/>
    <w:rsid w:val="00531A69"/>
    <w:rsid w:val="00554A6B"/>
    <w:rsid w:val="0056228C"/>
    <w:rsid w:val="00562F8F"/>
    <w:rsid w:val="00581E14"/>
    <w:rsid w:val="00587935"/>
    <w:rsid w:val="005B1DD9"/>
    <w:rsid w:val="005B210C"/>
    <w:rsid w:val="005B74FB"/>
    <w:rsid w:val="00611F62"/>
    <w:rsid w:val="00624548"/>
    <w:rsid w:val="0062648C"/>
    <w:rsid w:val="00651506"/>
    <w:rsid w:val="00661229"/>
    <w:rsid w:val="00670319"/>
    <w:rsid w:val="006A070B"/>
    <w:rsid w:val="006B7400"/>
    <w:rsid w:val="006C04EC"/>
    <w:rsid w:val="006C3773"/>
    <w:rsid w:val="006C7D3C"/>
    <w:rsid w:val="006F4581"/>
    <w:rsid w:val="00717D29"/>
    <w:rsid w:val="007613D0"/>
    <w:rsid w:val="00762505"/>
    <w:rsid w:val="007647F5"/>
    <w:rsid w:val="00772248"/>
    <w:rsid w:val="007B344F"/>
    <w:rsid w:val="007B7B74"/>
    <w:rsid w:val="007C209E"/>
    <w:rsid w:val="007D327D"/>
    <w:rsid w:val="007E3BB5"/>
    <w:rsid w:val="007F40AA"/>
    <w:rsid w:val="008061C1"/>
    <w:rsid w:val="008232F9"/>
    <w:rsid w:val="00830FE4"/>
    <w:rsid w:val="00866D1F"/>
    <w:rsid w:val="008776F0"/>
    <w:rsid w:val="00890910"/>
    <w:rsid w:val="008A5612"/>
    <w:rsid w:val="008C5C95"/>
    <w:rsid w:val="008F3A45"/>
    <w:rsid w:val="00900D86"/>
    <w:rsid w:val="00905E29"/>
    <w:rsid w:val="009103CD"/>
    <w:rsid w:val="00916A94"/>
    <w:rsid w:val="009421AA"/>
    <w:rsid w:val="00964C1D"/>
    <w:rsid w:val="00971609"/>
    <w:rsid w:val="00972159"/>
    <w:rsid w:val="0097256A"/>
    <w:rsid w:val="00993A01"/>
    <w:rsid w:val="009A5BB4"/>
    <w:rsid w:val="009A5D09"/>
    <w:rsid w:val="009D2CF3"/>
    <w:rsid w:val="009D5C08"/>
    <w:rsid w:val="00A222DF"/>
    <w:rsid w:val="00A45618"/>
    <w:rsid w:val="00A55C02"/>
    <w:rsid w:val="00A80EE9"/>
    <w:rsid w:val="00AA3644"/>
    <w:rsid w:val="00AB2D2C"/>
    <w:rsid w:val="00AB2D70"/>
    <w:rsid w:val="00AB4CA8"/>
    <w:rsid w:val="00AC0109"/>
    <w:rsid w:val="00AD6FB2"/>
    <w:rsid w:val="00B02E3B"/>
    <w:rsid w:val="00B14859"/>
    <w:rsid w:val="00B26814"/>
    <w:rsid w:val="00B26DE3"/>
    <w:rsid w:val="00B8724A"/>
    <w:rsid w:val="00B92C71"/>
    <w:rsid w:val="00BB1536"/>
    <w:rsid w:val="00BB6C8A"/>
    <w:rsid w:val="00BC5FEE"/>
    <w:rsid w:val="00BC61D5"/>
    <w:rsid w:val="00BD3ECB"/>
    <w:rsid w:val="00BE1F72"/>
    <w:rsid w:val="00BE7499"/>
    <w:rsid w:val="00C00136"/>
    <w:rsid w:val="00C138FB"/>
    <w:rsid w:val="00C231B3"/>
    <w:rsid w:val="00C40C2E"/>
    <w:rsid w:val="00C55B21"/>
    <w:rsid w:val="00C651C1"/>
    <w:rsid w:val="00C83701"/>
    <w:rsid w:val="00C935A7"/>
    <w:rsid w:val="00CA7710"/>
    <w:rsid w:val="00CB14F0"/>
    <w:rsid w:val="00CB4D22"/>
    <w:rsid w:val="00CC3224"/>
    <w:rsid w:val="00CC4463"/>
    <w:rsid w:val="00CE32B2"/>
    <w:rsid w:val="00D06895"/>
    <w:rsid w:val="00D12A2A"/>
    <w:rsid w:val="00D274DF"/>
    <w:rsid w:val="00D50217"/>
    <w:rsid w:val="00D645EF"/>
    <w:rsid w:val="00D877B5"/>
    <w:rsid w:val="00D9050F"/>
    <w:rsid w:val="00DB3E52"/>
    <w:rsid w:val="00DB440F"/>
    <w:rsid w:val="00DD6860"/>
    <w:rsid w:val="00E158CF"/>
    <w:rsid w:val="00E37302"/>
    <w:rsid w:val="00E44D21"/>
    <w:rsid w:val="00E67E6B"/>
    <w:rsid w:val="00EC4DD8"/>
    <w:rsid w:val="00EE53F4"/>
    <w:rsid w:val="00EF09BA"/>
    <w:rsid w:val="00EF4A3E"/>
    <w:rsid w:val="00F021A1"/>
    <w:rsid w:val="00F3063C"/>
    <w:rsid w:val="00F404E8"/>
    <w:rsid w:val="00F56DC8"/>
    <w:rsid w:val="00F75261"/>
    <w:rsid w:val="00F82718"/>
    <w:rsid w:val="00F8439F"/>
    <w:rsid w:val="00F900F8"/>
    <w:rsid w:val="00FA6D70"/>
    <w:rsid w:val="00FB5FF2"/>
    <w:rsid w:val="00FD0C9B"/>
    <w:rsid w:val="00FD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ACCDF-41D7-4576-AC14-BB36B62E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8AD"/>
  </w:style>
  <w:style w:type="paragraph" w:styleId="Heading1">
    <w:name w:val="heading 1"/>
    <w:basedOn w:val="Normal"/>
    <w:next w:val="Normal"/>
    <w:link w:val="Heading1Char"/>
    <w:qFormat/>
    <w:rsid w:val="00762505"/>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3C"/>
    <w:pPr>
      <w:ind w:left="720"/>
      <w:contextualSpacing/>
    </w:pPr>
  </w:style>
  <w:style w:type="paragraph" w:customStyle="1" w:styleId="NVdrafting">
    <w:name w:val="NV drafting"/>
    <w:basedOn w:val="Normal"/>
    <w:rsid w:val="00890910"/>
    <w:pPr>
      <w:numPr>
        <w:numId w:val="2"/>
      </w:numPr>
      <w:spacing w:after="200" w:line="276" w:lineRule="auto"/>
    </w:pPr>
    <w:rPr>
      <w:rFonts w:ascii="Calibri" w:eastAsia="Times New Roman" w:hAnsi="Calibri" w:cs="Times New Roman"/>
      <w:lang w:eastAsia="en-GB"/>
    </w:rPr>
  </w:style>
  <w:style w:type="paragraph" w:customStyle="1" w:styleId="Default">
    <w:name w:val="Default"/>
    <w:rsid w:val="000004D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12A2A"/>
    <w:rPr>
      <w:color w:val="0563C1" w:themeColor="hyperlink"/>
      <w:u w:val="single"/>
    </w:rPr>
  </w:style>
  <w:style w:type="character" w:customStyle="1" w:styleId="Heading1Char">
    <w:name w:val="Heading 1 Char"/>
    <w:basedOn w:val="DefaultParagraphFont"/>
    <w:link w:val="Heading1"/>
    <w:rsid w:val="00762505"/>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160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8AD"/>
  </w:style>
  <w:style w:type="paragraph" w:styleId="Footer">
    <w:name w:val="footer"/>
    <w:basedOn w:val="Normal"/>
    <w:link w:val="FooterChar"/>
    <w:uiPriority w:val="99"/>
    <w:unhideWhenUsed/>
    <w:rsid w:val="00160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8AD"/>
  </w:style>
  <w:style w:type="table" w:styleId="TableGrid">
    <w:name w:val="Table Grid"/>
    <w:basedOn w:val="TableNormal"/>
    <w:uiPriority w:val="39"/>
    <w:rsid w:val="0016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A26"/>
    <w:rPr>
      <w:sz w:val="16"/>
      <w:szCs w:val="16"/>
    </w:rPr>
  </w:style>
  <w:style w:type="paragraph" w:styleId="CommentText">
    <w:name w:val="annotation text"/>
    <w:basedOn w:val="Normal"/>
    <w:link w:val="CommentTextChar"/>
    <w:uiPriority w:val="99"/>
    <w:semiHidden/>
    <w:unhideWhenUsed/>
    <w:rsid w:val="000C3A26"/>
    <w:pPr>
      <w:spacing w:line="240" w:lineRule="auto"/>
    </w:pPr>
    <w:rPr>
      <w:sz w:val="20"/>
      <w:szCs w:val="20"/>
    </w:rPr>
  </w:style>
  <w:style w:type="character" w:customStyle="1" w:styleId="CommentTextChar">
    <w:name w:val="Comment Text Char"/>
    <w:basedOn w:val="DefaultParagraphFont"/>
    <w:link w:val="CommentText"/>
    <w:uiPriority w:val="99"/>
    <w:semiHidden/>
    <w:rsid w:val="000C3A26"/>
    <w:rPr>
      <w:sz w:val="20"/>
      <w:szCs w:val="20"/>
    </w:rPr>
  </w:style>
  <w:style w:type="paragraph" w:styleId="CommentSubject">
    <w:name w:val="annotation subject"/>
    <w:basedOn w:val="CommentText"/>
    <w:next w:val="CommentText"/>
    <w:link w:val="CommentSubjectChar"/>
    <w:uiPriority w:val="99"/>
    <w:semiHidden/>
    <w:unhideWhenUsed/>
    <w:rsid w:val="000C3A26"/>
    <w:rPr>
      <w:b/>
      <w:bCs/>
    </w:rPr>
  </w:style>
  <w:style w:type="character" w:customStyle="1" w:styleId="CommentSubjectChar">
    <w:name w:val="Comment Subject Char"/>
    <w:basedOn w:val="CommentTextChar"/>
    <w:link w:val="CommentSubject"/>
    <w:uiPriority w:val="99"/>
    <w:semiHidden/>
    <w:rsid w:val="000C3A26"/>
    <w:rPr>
      <w:b/>
      <w:bCs/>
      <w:sz w:val="20"/>
      <w:szCs w:val="20"/>
    </w:rPr>
  </w:style>
  <w:style w:type="paragraph" w:styleId="BalloonText">
    <w:name w:val="Balloon Text"/>
    <w:basedOn w:val="Normal"/>
    <w:link w:val="BalloonTextChar"/>
    <w:uiPriority w:val="99"/>
    <w:semiHidden/>
    <w:unhideWhenUsed/>
    <w:rsid w:val="000C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26"/>
    <w:rPr>
      <w:rFonts w:ascii="Tahoma" w:hAnsi="Tahoma" w:cs="Tahoma"/>
      <w:sz w:val="16"/>
      <w:szCs w:val="16"/>
    </w:rPr>
  </w:style>
  <w:style w:type="paragraph" w:styleId="Revision">
    <w:name w:val="Revision"/>
    <w:hidden/>
    <w:uiPriority w:val="99"/>
    <w:semiHidden/>
    <w:rsid w:val="00194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2969">
      <w:bodyDiv w:val="1"/>
      <w:marLeft w:val="0"/>
      <w:marRight w:val="0"/>
      <w:marTop w:val="0"/>
      <w:marBottom w:val="0"/>
      <w:divBdr>
        <w:top w:val="none" w:sz="0" w:space="0" w:color="auto"/>
        <w:left w:val="none" w:sz="0" w:space="0" w:color="auto"/>
        <w:bottom w:val="none" w:sz="0" w:space="0" w:color="auto"/>
        <w:right w:val="none" w:sz="0" w:space="0" w:color="auto"/>
      </w:divBdr>
    </w:div>
    <w:div w:id="962882016">
      <w:bodyDiv w:val="1"/>
      <w:marLeft w:val="0"/>
      <w:marRight w:val="0"/>
      <w:marTop w:val="0"/>
      <w:marBottom w:val="0"/>
      <w:divBdr>
        <w:top w:val="none" w:sz="0" w:space="0" w:color="auto"/>
        <w:left w:val="none" w:sz="0" w:space="0" w:color="auto"/>
        <w:bottom w:val="none" w:sz="0" w:space="0" w:color="auto"/>
        <w:right w:val="none" w:sz="0" w:space="0" w:color="auto"/>
      </w:divBdr>
      <w:divsChild>
        <w:div w:id="811751081">
          <w:marLeft w:val="0"/>
          <w:marRight w:val="0"/>
          <w:marTop w:val="0"/>
          <w:marBottom w:val="0"/>
          <w:divBdr>
            <w:top w:val="none" w:sz="0" w:space="0" w:color="auto"/>
            <w:left w:val="none" w:sz="0" w:space="0" w:color="auto"/>
            <w:bottom w:val="none" w:sz="0" w:space="0" w:color="auto"/>
            <w:right w:val="none" w:sz="0" w:space="0" w:color="auto"/>
          </w:divBdr>
          <w:divsChild>
            <w:div w:id="1897663233">
              <w:marLeft w:val="0"/>
              <w:marRight w:val="0"/>
              <w:marTop w:val="15"/>
              <w:marBottom w:val="0"/>
              <w:divBdr>
                <w:top w:val="none" w:sz="0" w:space="0" w:color="auto"/>
                <w:left w:val="none" w:sz="0" w:space="0" w:color="auto"/>
                <w:bottom w:val="none" w:sz="0" w:space="0" w:color="auto"/>
                <w:right w:val="single" w:sz="6" w:space="15" w:color="CCCCCC"/>
              </w:divBdr>
            </w:div>
          </w:divsChild>
        </w:div>
      </w:divsChild>
    </w:div>
    <w:div w:id="1024869168">
      <w:bodyDiv w:val="1"/>
      <w:marLeft w:val="0"/>
      <w:marRight w:val="0"/>
      <w:marTop w:val="0"/>
      <w:marBottom w:val="0"/>
      <w:divBdr>
        <w:top w:val="none" w:sz="0" w:space="0" w:color="auto"/>
        <w:left w:val="none" w:sz="0" w:space="0" w:color="auto"/>
        <w:bottom w:val="none" w:sz="0" w:space="0" w:color="auto"/>
        <w:right w:val="none" w:sz="0" w:space="0" w:color="auto"/>
      </w:divBdr>
    </w:div>
    <w:div w:id="11556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ragnell@barstandardsboar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ragnell@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A3F2-33AC-4876-B07B-F62B0535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Pragnell</dc:creator>
  <cp:lastModifiedBy>Andrew Lamberti</cp:lastModifiedBy>
  <cp:revision>2</cp:revision>
  <cp:lastPrinted>2014-03-26T17:33:00Z</cp:lastPrinted>
  <dcterms:created xsi:type="dcterms:W3CDTF">2019-09-25T10:54:00Z</dcterms:created>
  <dcterms:modified xsi:type="dcterms:W3CDTF">2019-09-25T10:54:00Z</dcterms:modified>
</cp:coreProperties>
</file>